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927CB2" w14:textId="77777777" w:rsidR="007D25B6" w:rsidRPr="00194BD4" w:rsidRDefault="007D25B6" w:rsidP="007D25B6">
      <w:pPr>
        <w:jc w:val="center"/>
        <w:rPr>
          <w:b/>
          <w:sz w:val="56"/>
          <w:szCs w:val="56"/>
        </w:rPr>
      </w:pPr>
      <w:r w:rsidRPr="00194BD4">
        <w:rPr>
          <w:b/>
          <w:sz w:val="56"/>
          <w:szCs w:val="56"/>
        </w:rPr>
        <w:t>COMUNE DI BRESCIA</w:t>
      </w:r>
    </w:p>
    <w:p w14:paraId="415ADE9E" w14:textId="42C69D98" w:rsidR="003B3AFD" w:rsidRDefault="003B3AFD" w:rsidP="00A27296">
      <w:pPr>
        <w:jc w:val="center"/>
        <w:rPr>
          <w:b/>
          <w:sz w:val="36"/>
          <w:szCs w:val="36"/>
        </w:rPr>
      </w:pPr>
    </w:p>
    <w:p w14:paraId="58989D65" w14:textId="36BA819A" w:rsidR="007D25B6" w:rsidRDefault="007D25B6" w:rsidP="00A27296">
      <w:pPr>
        <w:jc w:val="center"/>
        <w:rPr>
          <w:b/>
          <w:sz w:val="36"/>
          <w:szCs w:val="36"/>
        </w:rPr>
      </w:pPr>
      <w:r>
        <w:rPr>
          <w:b/>
          <w:noProof/>
          <w:sz w:val="44"/>
          <w:szCs w:val="44"/>
        </w:rPr>
        <w:drawing>
          <wp:inline distT="0" distB="0" distL="0" distR="0" wp14:anchorId="2C0AD008" wp14:editId="2433163C">
            <wp:extent cx="4413475" cy="2496710"/>
            <wp:effectExtent l="0" t="0" r="635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28859" cy="2505413"/>
                    </a:xfrm>
                    <a:prstGeom prst="rect">
                      <a:avLst/>
                    </a:prstGeom>
                    <a:noFill/>
                    <a:ln>
                      <a:noFill/>
                    </a:ln>
                  </pic:spPr>
                </pic:pic>
              </a:graphicData>
            </a:graphic>
          </wp:inline>
        </w:drawing>
      </w:r>
    </w:p>
    <w:p w14:paraId="7AF43E20" w14:textId="070053A1" w:rsidR="007D25B6" w:rsidRDefault="007D25B6" w:rsidP="00A27296">
      <w:pPr>
        <w:jc w:val="center"/>
        <w:rPr>
          <w:b/>
          <w:sz w:val="36"/>
          <w:szCs w:val="36"/>
        </w:rPr>
      </w:pPr>
    </w:p>
    <w:p w14:paraId="329500A9" w14:textId="77777777" w:rsidR="007D25B6" w:rsidRDefault="007D25B6" w:rsidP="00A27296">
      <w:pPr>
        <w:jc w:val="center"/>
        <w:rPr>
          <w:b/>
          <w:sz w:val="36"/>
          <w:szCs w:val="36"/>
        </w:rPr>
      </w:pPr>
    </w:p>
    <w:p w14:paraId="6C0ACA2D" w14:textId="5846637F" w:rsidR="00A27296" w:rsidRDefault="00A27296" w:rsidP="00A27296">
      <w:pPr>
        <w:jc w:val="center"/>
        <w:rPr>
          <w:b/>
          <w:sz w:val="36"/>
          <w:szCs w:val="36"/>
        </w:rPr>
      </w:pPr>
    </w:p>
    <w:p w14:paraId="74FAFED4" w14:textId="77777777" w:rsidR="00A27296" w:rsidRDefault="00A27296" w:rsidP="00A27296">
      <w:pPr>
        <w:jc w:val="center"/>
        <w:rPr>
          <w:b/>
          <w:sz w:val="36"/>
          <w:szCs w:val="36"/>
        </w:rPr>
      </w:pPr>
    </w:p>
    <w:p w14:paraId="5C0F0D2A" w14:textId="77777777" w:rsidR="003B3AFD" w:rsidRPr="00A27296" w:rsidRDefault="003B3AFD" w:rsidP="00A27296">
      <w:pPr>
        <w:jc w:val="center"/>
        <w:rPr>
          <w:b/>
          <w:sz w:val="36"/>
          <w:szCs w:val="36"/>
        </w:rPr>
      </w:pPr>
    </w:p>
    <w:p w14:paraId="62DE54DE" w14:textId="6C71D549" w:rsidR="00A27296" w:rsidRPr="007D25B6" w:rsidRDefault="00A27296" w:rsidP="00A27296">
      <w:pPr>
        <w:jc w:val="center"/>
        <w:rPr>
          <w:bCs/>
          <w:sz w:val="44"/>
          <w:szCs w:val="44"/>
        </w:rPr>
      </w:pPr>
      <w:r w:rsidRPr="007D25B6">
        <w:rPr>
          <w:bCs/>
          <w:sz w:val="44"/>
          <w:szCs w:val="44"/>
        </w:rPr>
        <w:t>PIANO ECONOMICO FINANZIARIO</w:t>
      </w:r>
      <w:r w:rsidR="008840F6" w:rsidRPr="007D25B6">
        <w:rPr>
          <w:bCs/>
          <w:sz w:val="44"/>
          <w:szCs w:val="44"/>
        </w:rPr>
        <w:t xml:space="preserve"> </w:t>
      </w:r>
      <w:r w:rsidRPr="007D25B6">
        <w:rPr>
          <w:bCs/>
          <w:sz w:val="44"/>
          <w:szCs w:val="44"/>
        </w:rPr>
        <w:t>202</w:t>
      </w:r>
      <w:r w:rsidR="0006533F" w:rsidRPr="007D25B6">
        <w:rPr>
          <w:bCs/>
          <w:sz w:val="44"/>
          <w:szCs w:val="44"/>
        </w:rPr>
        <w:t>2</w:t>
      </w:r>
      <w:r w:rsidR="008840F6" w:rsidRPr="007D25B6">
        <w:rPr>
          <w:bCs/>
          <w:sz w:val="44"/>
          <w:szCs w:val="44"/>
        </w:rPr>
        <w:t>-2025</w:t>
      </w:r>
      <w:r w:rsidR="007D25B6" w:rsidRPr="007D25B6">
        <w:rPr>
          <w:bCs/>
          <w:sz w:val="44"/>
          <w:szCs w:val="44"/>
        </w:rPr>
        <w:t xml:space="preserve"> </w:t>
      </w:r>
      <w:r w:rsidRPr="007D25B6">
        <w:rPr>
          <w:bCs/>
          <w:sz w:val="44"/>
          <w:szCs w:val="44"/>
        </w:rPr>
        <w:t>PER IL SERVIZIO INTEGRATO DI GESTIONE DEI RIFIUTI</w:t>
      </w:r>
    </w:p>
    <w:p w14:paraId="066AC2DC" w14:textId="77777777" w:rsidR="00A27296" w:rsidRDefault="00A27296" w:rsidP="00A27296">
      <w:pPr>
        <w:jc w:val="center"/>
        <w:rPr>
          <w:b/>
          <w:sz w:val="48"/>
          <w:szCs w:val="48"/>
        </w:rPr>
      </w:pPr>
    </w:p>
    <w:p w14:paraId="48C22F37" w14:textId="4CC252D3" w:rsidR="003B3AFD" w:rsidRPr="007D25B6" w:rsidRDefault="007D25B6" w:rsidP="00A27296">
      <w:pPr>
        <w:jc w:val="center"/>
        <w:rPr>
          <w:b/>
          <w:sz w:val="48"/>
          <w:szCs w:val="48"/>
        </w:rPr>
      </w:pPr>
      <w:r w:rsidRPr="007D25B6">
        <w:rPr>
          <w:b/>
          <w:sz w:val="36"/>
          <w:szCs w:val="36"/>
        </w:rPr>
        <w:t>RELAZIONE DI ACCOMPAGNAMENTO AL PEF</w:t>
      </w:r>
    </w:p>
    <w:p w14:paraId="77EF164E" w14:textId="77777777" w:rsidR="003B3AFD" w:rsidRPr="007D25B6" w:rsidRDefault="00A27296" w:rsidP="00A27296">
      <w:pPr>
        <w:jc w:val="center"/>
        <w:rPr>
          <w:b/>
          <w:sz w:val="36"/>
          <w:szCs w:val="36"/>
        </w:rPr>
      </w:pPr>
      <w:r w:rsidRPr="007D25B6">
        <w:rPr>
          <w:b/>
          <w:sz w:val="36"/>
          <w:szCs w:val="36"/>
        </w:rPr>
        <w:t xml:space="preserve">ai sensi della </w:t>
      </w:r>
      <w:r w:rsidR="003B3AFD" w:rsidRPr="007D25B6">
        <w:rPr>
          <w:b/>
          <w:sz w:val="36"/>
          <w:szCs w:val="36"/>
        </w:rPr>
        <w:t>Deliberazione ARERA</w:t>
      </w:r>
    </w:p>
    <w:p w14:paraId="2A37B92E" w14:textId="51CBFEB5" w:rsidR="00A27296" w:rsidRDefault="003B3AFD" w:rsidP="00A27296">
      <w:pPr>
        <w:jc w:val="center"/>
        <w:rPr>
          <w:b/>
          <w:sz w:val="48"/>
          <w:szCs w:val="48"/>
        </w:rPr>
      </w:pPr>
      <w:r w:rsidRPr="007D25B6">
        <w:rPr>
          <w:b/>
          <w:sz w:val="36"/>
          <w:szCs w:val="36"/>
        </w:rPr>
        <w:t xml:space="preserve">3 </w:t>
      </w:r>
      <w:r w:rsidR="00F74185" w:rsidRPr="007D25B6">
        <w:rPr>
          <w:b/>
          <w:sz w:val="36"/>
          <w:szCs w:val="36"/>
        </w:rPr>
        <w:t>agosto</w:t>
      </w:r>
      <w:r w:rsidRPr="007D25B6">
        <w:rPr>
          <w:b/>
          <w:sz w:val="36"/>
          <w:szCs w:val="36"/>
        </w:rPr>
        <w:t xml:space="preserve"> 20</w:t>
      </w:r>
      <w:r w:rsidR="00F74185" w:rsidRPr="007D25B6">
        <w:rPr>
          <w:b/>
          <w:sz w:val="36"/>
          <w:szCs w:val="36"/>
        </w:rPr>
        <w:t>21</w:t>
      </w:r>
      <w:r w:rsidRPr="007D25B6">
        <w:rPr>
          <w:b/>
          <w:sz w:val="36"/>
          <w:szCs w:val="36"/>
        </w:rPr>
        <w:t xml:space="preserve"> n.</w:t>
      </w:r>
      <w:r w:rsidR="00F74185" w:rsidRPr="007D25B6">
        <w:rPr>
          <w:b/>
          <w:sz w:val="36"/>
          <w:szCs w:val="36"/>
        </w:rPr>
        <w:t xml:space="preserve"> 363</w:t>
      </w:r>
      <w:r w:rsidRPr="007D25B6">
        <w:rPr>
          <w:b/>
          <w:sz w:val="36"/>
          <w:szCs w:val="36"/>
        </w:rPr>
        <w:t>/20</w:t>
      </w:r>
      <w:r w:rsidR="00F74185" w:rsidRPr="007D25B6">
        <w:rPr>
          <w:b/>
          <w:sz w:val="36"/>
          <w:szCs w:val="36"/>
        </w:rPr>
        <w:t>21</w:t>
      </w:r>
      <w:r w:rsidRPr="007D25B6">
        <w:rPr>
          <w:b/>
          <w:sz w:val="36"/>
          <w:szCs w:val="36"/>
        </w:rPr>
        <w:t>/R/</w:t>
      </w:r>
      <w:r w:rsidR="00F74185" w:rsidRPr="007D25B6">
        <w:rPr>
          <w:b/>
          <w:sz w:val="36"/>
          <w:szCs w:val="36"/>
        </w:rPr>
        <w:t>rif</w:t>
      </w:r>
    </w:p>
    <w:p w14:paraId="19F756F9" w14:textId="40D0538B" w:rsidR="007D25B6" w:rsidRDefault="007D25B6" w:rsidP="00A27296">
      <w:pPr>
        <w:jc w:val="center"/>
        <w:rPr>
          <w:b/>
          <w:sz w:val="48"/>
          <w:szCs w:val="48"/>
        </w:rPr>
      </w:pPr>
    </w:p>
    <w:p w14:paraId="43E5EE48" w14:textId="66F30CE1" w:rsidR="007D25B6" w:rsidRDefault="007D25B6" w:rsidP="00A27296">
      <w:pPr>
        <w:jc w:val="center"/>
        <w:rPr>
          <w:b/>
          <w:sz w:val="48"/>
          <w:szCs w:val="48"/>
        </w:rPr>
      </w:pPr>
    </w:p>
    <w:p w14:paraId="154213F2" w14:textId="2303D63A" w:rsidR="007D25B6" w:rsidRDefault="007D25B6" w:rsidP="00A27296">
      <w:pPr>
        <w:jc w:val="center"/>
        <w:rPr>
          <w:b/>
          <w:sz w:val="48"/>
          <w:szCs w:val="48"/>
        </w:rPr>
      </w:pPr>
    </w:p>
    <w:p w14:paraId="653E2218" w14:textId="1BAEE74F" w:rsidR="007D25B6" w:rsidRDefault="007D25B6" w:rsidP="00A27296">
      <w:pPr>
        <w:jc w:val="center"/>
        <w:rPr>
          <w:b/>
          <w:sz w:val="48"/>
          <w:szCs w:val="48"/>
        </w:rPr>
      </w:pPr>
    </w:p>
    <w:p w14:paraId="1FEC8D74" w14:textId="50FB671E" w:rsidR="007D25B6" w:rsidRDefault="007D25B6" w:rsidP="00A27296">
      <w:pPr>
        <w:jc w:val="center"/>
        <w:rPr>
          <w:b/>
          <w:sz w:val="48"/>
          <w:szCs w:val="48"/>
        </w:rPr>
      </w:pPr>
    </w:p>
    <w:p w14:paraId="57AFCAC8" w14:textId="0C79CBD1" w:rsidR="007D25B6" w:rsidRPr="00A27296" w:rsidRDefault="007D25B6" w:rsidP="00A27296">
      <w:pPr>
        <w:jc w:val="center"/>
        <w:rPr>
          <w:b/>
          <w:sz w:val="48"/>
          <w:szCs w:val="48"/>
        </w:rPr>
      </w:pPr>
      <w:r>
        <w:rPr>
          <w:b/>
          <w:sz w:val="48"/>
          <w:szCs w:val="48"/>
        </w:rPr>
        <w:t>10 gennaio 2022</w:t>
      </w:r>
    </w:p>
    <w:p w14:paraId="36C7E384" w14:textId="77777777" w:rsidR="005316ED" w:rsidRPr="005E4C30" w:rsidRDefault="00A27296" w:rsidP="00F74185">
      <w:pPr>
        <w:jc w:val="left"/>
        <w:rPr>
          <w:b/>
        </w:rPr>
      </w:pPr>
      <w:r>
        <w:rPr>
          <w:b/>
          <w:sz w:val="26"/>
          <w:szCs w:val="26"/>
        </w:rPr>
        <w:br w:type="page"/>
      </w:r>
      <w:r w:rsidR="00F74185" w:rsidRPr="005E4C30">
        <w:rPr>
          <w:b/>
          <w:bCs/>
        </w:rPr>
        <w:lastRenderedPageBreak/>
        <w:t>Sommario</w:t>
      </w:r>
    </w:p>
    <w:p w14:paraId="1137AB28" w14:textId="61A002E8" w:rsidR="00DB1B17" w:rsidRDefault="005316ED">
      <w:pPr>
        <w:pStyle w:val="Sommario1"/>
        <w:rPr>
          <w:rFonts w:asciiTheme="minorHAnsi" w:eastAsiaTheme="minorEastAsia" w:hAnsiTheme="minorHAnsi" w:cstheme="minorBidi"/>
          <w:b w:val="0"/>
          <w:sz w:val="22"/>
          <w:szCs w:val="22"/>
        </w:rPr>
      </w:pPr>
      <w:r>
        <w:fldChar w:fldCharType="begin"/>
      </w:r>
      <w:r>
        <w:instrText xml:space="preserve"> TOC \o "1-4" \h \z \u </w:instrText>
      </w:r>
      <w:r>
        <w:fldChar w:fldCharType="separate"/>
      </w:r>
      <w:hyperlink w:anchor="_Toc92569704" w:history="1">
        <w:r w:rsidR="00DB1B17" w:rsidRPr="00CA079F">
          <w:rPr>
            <w:rStyle w:val="Collegamentoipertestuale"/>
          </w:rPr>
          <w:t>1</w:t>
        </w:r>
        <w:r w:rsidR="00DB1B17">
          <w:rPr>
            <w:rFonts w:asciiTheme="minorHAnsi" w:eastAsiaTheme="minorEastAsia" w:hAnsiTheme="minorHAnsi" w:cstheme="minorBidi"/>
            <w:b w:val="0"/>
            <w:sz w:val="22"/>
            <w:szCs w:val="22"/>
          </w:rPr>
          <w:tab/>
        </w:r>
        <w:r w:rsidR="00DB1B17" w:rsidRPr="00CA079F">
          <w:rPr>
            <w:rStyle w:val="Collegamentoipertestuale"/>
          </w:rPr>
          <w:t>Premessa</w:t>
        </w:r>
        <w:r w:rsidR="00DB1B17">
          <w:rPr>
            <w:webHidden/>
          </w:rPr>
          <w:tab/>
        </w:r>
        <w:r w:rsidR="00DB1B17">
          <w:rPr>
            <w:webHidden/>
          </w:rPr>
          <w:fldChar w:fldCharType="begin"/>
        </w:r>
        <w:r w:rsidR="00DB1B17">
          <w:rPr>
            <w:webHidden/>
          </w:rPr>
          <w:instrText xml:space="preserve"> PAGEREF _Toc92569704 \h </w:instrText>
        </w:r>
        <w:r w:rsidR="00DB1B17">
          <w:rPr>
            <w:webHidden/>
          </w:rPr>
        </w:r>
        <w:r w:rsidR="00DB1B17">
          <w:rPr>
            <w:webHidden/>
          </w:rPr>
          <w:fldChar w:fldCharType="separate"/>
        </w:r>
        <w:r w:rsidR="00DB1B17">
          <w:rPr>
            <w:webHidden/>
          </w:rPr>
          <w:t>3</w:t>
        </w:r>
        <w:r w:rsidR="00DB1B17">
          <w:rPr>
            <w:webHidden/>
          </w:rPr>
          <w:fldChar w:fldCharType="end"/>
        </w:r>
      </w:hyperlink>
    </w:p>
    <w:p w14:paraId="1FADDCEC" w14:textId="23A36811" w:rsidR="00DB1B17" w:rsidRDefault="003810C5">
      <w:pPr>
        <w:pStyle w:val="Sommario2"/>
        <w:rPr>
          <w:rFonts w:asciiTheme="minorHAnsi" w:eastAsiaTheme="minorEastAsia" w:hAnsiTheme="minorHAnsi" w:cstheme="minorBidi"/>
          <w:noProof/>
          <w:sz w:val="22"/>
          <w:szCs w:val="22"/>
        </w:rPr>
      </w:pPr>
      <w:hyperlink w:anchor="_Toc92569705" w:history="1">
        <w:r w:rsidR="00DB1B17" w:rsidRPr="00CA079F">
          <w:rPr>
            <w:rStyle w:val="Collegamentoipertestuale"/>
            <w:rFonts w:eastAsia="Times"/>
            <w:noProof/>
          </w:rPr>
          <w:t>1.1</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Comune ricompreso nell’ambito tariffario</w:t>
        </w:r>
        <w:r w:rsidR="00DB1B17">
          <w:rPr>
            <w:noProof/>
            <w:webHidden/>
          </w:rPr>
          <w:tab/>
        </w:r>
        <w:r w:rsidR="00DB1B17">
          <w:rPr>
            <w:noProof/>
            <w:webHidden/>
          </w:rPr>
          <w:fldChar w:fldCharType="begin"/>
        </w:r>
        <w:r w:rsidR="00DB1B17">
          <w:rPr>
            <w:noProof/>
            <w:webHidden/>
          </w:rPr>
          <w:instrText xml:space="preserve"> PAGEREF _Toc92569705 \h </w:instrText>
        </w:r>
        <w:r w:rsidR="00DB1B17">
          <w:rPr>
            <w:noProof/>
            <w:webHidden/>
          </w:rPr>
        </w:r>
        <w:r w:rsidR="00DB1B17">
          <w:rPr>
            <w:noProof/>
            <w:webHidden/>
          </w:rPr>
          <w:fldChar w:fldCharType="separate"/>
        </w:r>
        <w:r w:rsidR="00DB1B17">
          <w:rPr>
            <w:noProof/>
            <w:webHidden/>
          </w:rPr>
          <w:t>3</w:t>
        </w:r>
        <w:r w:rsidR="00DB1B17">
          <w:rPr>
            <w:noProof/>
            <w:webHidden/>
          </w:rPr>
          <w:fldChar w:fldCharType="end"/>
        </w:r>
      </w:hyperlink>
    </w:p>
    <w:p w14:paraId="6C0116D5" w14:textId="0397B171" w:rsidR="00DB1B17" w:rsidRDefault="003810C5">
      <w:pPr>
        <w:pStyle w:val="Sommario2"/>
        <w:rPr>
          <w:rFonts w:asciiTheme="minorHAnsi" w:eastAsiaTheme="minorEastAsia" w:hAnsiTheme="minorHAnsi" w:cstheme="minorBidi"/>
          <w:noProof/>
          <w:sz w:val="22"/>
          <w:szCs w:val="22"/>
        </w:rPr>
      </w:pPr>
      <w:hyperlink w:anchor="_Toc92569706" w:history="1">
        <w:r w:rsidR="00DB1B17" w:rsidRPr="00CA079F">
          <w:rPr>
            <w:rStyle w:val="Collegamentoipertestuale"/>
            <w:rFonts w:eastAsia="Times"/>
            <w:noProof/>
          </w:rPr>
          <w:t>1.2</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Soggetti gestori per ciascun ambito tariffario</w:t>
        </w:r>
        <w:r w:rsidR="00DB1B17">
          <w:rPr>
            <w:noProof/>
            <w:webHidden/>
          </w:rPr>
          <w:tab/>
        </w:r>
        <w:r w:rsidR="00DB1B17">
          <w:rPr>
            <w:noProof/>
            <w:webHidden/>
          </w:rPr>
          <w:fldChar w:fldCharType="begin"/>
        </w:r>
        <w:r w:rsidR="00DB1B17">
          <w:rPr>
            <w:noProof/>
            <w:webHidden/>
          </w:rPr>
          <w:instrText xml:space="preserve"> PAGEREF _Toc92569706 \h </w:instrText>
        </w:r>
        <w:r w:rsidR="00DB1B17">
          <w:rPr>
            <w:noProof/>
            <w:webHidden/>
          </w:rPr>
        </w:r>
        <w:r w:rsidR="00DB1B17">
          <w:rPr>
            <w:noProof/>
            <w:webHidden/>
          </w:rPr>
          <w:fldChar w:fldCharType="separate"/>
        </w:r>
        <w:r w:rsidR="00DB1B17">
          <w:rPr>
            <w:noProof/>
            <w:webHidden/>
          </w:rPr>
          <w:t>3</w:t>
        </w:r>
        <w:r w:rsidR="00DB1B17">
          <w:rPr>
            <w:noProof/>
            <w:webHidden/>
          </w:rPr>
          <w:fldChar w:fldCharType="end"/>
        </w:r>
      </w:hyperlink>
    </w:p>
    <w:p w14:paraId="00D5E610" w14:textId="639ACF64" w:rsidR="00DB1B17" w:rsidRDefault="003810C5">
      <w:pPr>
        <w:pStyle w:val="Sommario2"/>
        <w:rPr>
          <w:rFonts w:asciiTheme="minorHAnsi" w:eastAsiaTheme="minorEastAsia" w:hAnsiTheme="minorHAnsi" w:cstheme="minorBidi"/>
          <w:noProof/>
          <w:sz w:val="22"/>
          <w:szCs w:val="22"/>
        </w:rPr>
      </w:pPr>
      <w:hyperlink w:anchor="_Toc92569707" w:history="1">
        <w:r w:rsidR="00DB1B17" w:rsidRPr="00CA079F">
          <w:rPr>
            <w:rStyle w:val="Collegamentoipertestuale"/>
            <w:rFonts w:eastAsia="Times"/>
            <w:noProof/>
          </w:rPr>
          <w:t>1.3</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Impianti di chiusura del ciclo del gestore integrato</w:t>
        </w:r>
        <w:r w:rsidR="00DB1B17">
          <w:rPr>
            <w:noProof/>
            <w:webHidden/>
          </w:rPr>
          <w:tab/>
        </w:r>
        <w:r w:rsidR="00DB1B17">
          <w:rPr>
            <w:noProof/>
            <w:webHidden/>
          </w:rPr>
          <w:fldChar w:fldCharType="begin"/>
        </w:r>
        <w:r w:rsidR="00DB1B17">
          <w:rPr>
            <w:noProof/>
            <w:webHidden/>
          </w:rPr>
          <w:instrText xml:space="preserve"> PAGEREF _Toc92569707 \h </w:instrText>
        </w:r>
        <w:r w:rsidR="00DB1B17">
          <w:rPr>
            <w:noProof/>
            <w:webHidden/>
          </w:rPr>
        </w:r>
        <w:r w:rsidR="00DB1B17">
          <w:rPr>
            <w:noProof/>
            <w:webHidden/>
          </w:rPr>
          <w:fldChar w:fldCharType="separate"/>
        </w:r>
        <w:r w:rsidR="00DB1B17">
          <w:rPr>
            <w:noProof/>
            <w:webHidden/>
          </w:rPr>
          <w:t>3</w:t>
        </w:r>
        <w:r w:rsidR="00DB1B17">
          <w:rPr>
            <w:noProof/>
            <w:webHidden/>
          </w:rPr>
          <w:fldChar w:fldCharType="end"/>
        </w:r>
      </w:hyperlink>
    </w:p>
    <w:p w14:paraId="28E7B0E1" w14:textId="04519DEA" w:rsidR="00DB1B17" w:rsidRDefault="003810C5">
      <w:pPr>
        <w:pStyle w:val="Sommario2"/>
        <w:rPr>
          <w:rFonts w:asciiTheme="minorHAnsi" w:eastAsiaTheme="minorEastAsia" w:hAnsiTheme="minorHAnsi" w:cstheme="minorBidi"/>
          <w:noProof/>
          <w:sz w:val="22"/>
          <w:szCs w:val="22"/>
        </w:rPr>
      </w:pPr>
      <w:hyperlink w:anchor="_Toc92569708" w:history="1">
        <w:r w:rsidR="00DB1B17" w:rsidRPr="00CA079F">
          <w:rPr>
            <w:rStyle w:val="Collegamentoipertestuale"/>
            <w:rFonts w:eastAsia="Times"/>
            <w:noProof/>
          </w:rPr>
          <w:t>1.4</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Documentazione per ciascun ambito tariffario</w:t>
        </w:r>
        <w:r w:rsidR="00DB1B17">
          <w:rPr>
            <w:noProof/>
            <w:webHidden/>
          </w:rPr>
          <w:tab/>
        </w:r>
        <w:r w:rsidR="00DB1B17">
          <w:rPr>
            <w:noProof/>
            <w:webHidden/>
          </w:rPr>
          <w:fldChar w:fldCharType="begin"/>
        </w:r>
        <w:r w:rsidR="00DB1B17">
          <w:rPr>
            <w:noProof/>
            <w:webHidden/>
          </w:rPr>
          <w:instrText xml:space="preserve"> PAGEREF _Toc92569708 \h </w:instrText>
        </w:r>
        <w:r w:rsidR="00DB1B17">
          <w:rPr>
            <w:noProof/>
            <w:webHidden/>
          </w:rPr>
        </w:r>
        <w:r w:rsidR="00DB1B17">
          <w:rPr>
            <w:noProof/>
            <w:webHidden/>
          </w:rPr>
          <w:fldChar w:fldCharType="separate"/>
        </w:r>
        <w:r w:rsidR="00DB1B17">
          <w:rPr>
            <w:noProof/>
            <w:webHidden/>
          </w:rPr>
          <w:t>3</w:t>
        </w:r>
        <w:r w:rsidR="00DB1B17">
          <w:rPr>
            <w:noProof/>
            <w:webHidden/>
          </w:rPr>
          <w:fldChar w:fldCharType="end"/>
        </w:r>
      </w:hyperlink>
    </w:p>
    <w:p w14:paraId="5B798300" w14:textId="7987BC18" w:rsidR="00DB1B17" w:rsidRDefault="003810C5">
      <w:pPr>
        <w:pStyle w:val="Sommario2"/>
        <w:rPr>
          <w:rFonts w:asciiTheme="minorHAnsi" w:eastAsiaTheme="minorEastAsia" w:hAnsiTheme="minorHAnsi" w:cstheme="minorBidi"/>
          <w:noProof/>
          <w:sz w:val="22"/>
          <w:szCs w:val="22"/>
        </w:rPr>
      </w:pPr>
      <w:hyperlink w:anchor="_Toc92569709" w:history="1">
        <w:r w:rsidR="00DB1B17" w:rsidRPr="00CA079F">
          <w:rPr>
            <w:rStyle w:val="Collegamentoipertestuale"/>
            <w:rFonts w:eastAsia="Times"/>
            <w:noProof/>
          </w:rPr>
          <w:t>1.5</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Altri elementi da segnalare</w:t>
        </w:r>
        <w:r w:rsidR="00DB1B17">
          <w:rPr>
            <w:noProof/>
            <w:webHidden/>
          </w:rPr>
          <w:tab/>
        </w:r>
        <w:r w:rsidR="00DB1B17">
          <w:rPr>
            <w:noProof/>
            <w:webHidden/>
          </w:rPr>
          <w:fldChar w:fldCharType="begin"/>
        </w:r>
        <w:r w:rsidR="00DB1B17">
          <w:rPr>
            <w:noProof/>
            <w:webHidden/>
          </w:rPr>
          <w:instrText xml:space="preserve"> PAGEREF _Toc92569709 \h </w:instrText>
        </w:r>
        <w:r w:rsidR="00DB1B17">
          <w:rPr>
            <w:noProof/>
            <w:webHidden/>
          </w:rPr>
        </w:r>
        <w:r w:rsidR="00DB1B17">
          <w:rPr>
            <w:noProof/>
            <w:webHidden/>
          </w:rPr>
          <w:fldChar w:fldCharType="separate"/>
        </w:r>
        <w:r w:rsidR="00DB1B17">
          <w:rPr>
            <w:noProof/>
            <w:webHidden/>
          </w:rPr>
          <w:t>4</w:t>
        </w:r>
        <w:r w:rsidR="00DB1B17">
          <w:rPr>
            <w:noProof/>
            <w:webHidden/>
          </w:rPr>
          <w:fldChar w:fldCharType="end"/>
        </w:r>
      </w:hyperlink>
    </w:p>
    <w:p w14:paraId="5FA3857B" w14:textId="26F478E1" w:rsidR="00DB1B17" w:rsidRDefault="003810C5">
      <w:pPr>
        <w:pStyle w:val="Sommario1"/>
        <w:rPr>
          <w:rFonts w:asciiTheme="minorHAnsi" w:eastAsiaTheme="minorEastAsia" w:hAnsiTheme="minorHAnsi" w:cstheme="minorBidi"/>
          <w:b w:val="0"/>
          <w:sz w:val="22"/>
          <w:szCs w:val="22"/>
        </w:rPr>
      </w:pPr>
      <w:hyperlink w:anchor="_Toc92569710" w:history="1">
        <w:r w:rsidR="00DB1B17" w:rsidRPr="00CA079F">
          <w:rPr>
            <w:rStyle w:val="Collegamentoipertestuale"/>
          </w:rPr>
          <w:t>2</w:t>
        </w:r>
        <w:r w:rsidR="00DB1B17">
          <w:rPr>
            <w:rFonts w:asciiTheme="minorHAnsi" w:eastAsiaTheme="minorEastAsia" w:hAnsiTheme="minorHAnsi" w:cstheme="minorBidi"/>
            <w:b w:val="0"/>
            <w:sz w:val="22"/>
            <w:szCs w:val="22"/>
          </w:rPr>
          <w:tab/>
        </w:r>
        <w:r w:rsidR="00DB1B17" w:rsidRPr="00CA079F">
          <w:rPr>
            <w:rStyle w:val="Collegamentoipertestuale"/>
          </w:rPr>
          <w:t>Descrizione dei servizi forniti</w:t>
        </w:r>
        <w:r w:rsidR="00DB1B17">
          <w:rPr>
            <w:webHidden/>
          </w:rPr>
          <w:tab/>
        </w:r>
        <w:r w:rsidR="00DB1B17">
          <w:rPr>
            <w:webHidden/>
          </w:rPr>
          <w:fldChar w:fldCharType="begin"/>
        </w:r>
        <w:r w:rsidR="00DB1B17">
          <w:rPr>
            <w:webHidden/>
          </w:rPr>
          <w:instrText xml:space="preserve"> PAGEREF _Toc92569710 \h </w:instrText>
        </w:r>
        <w:r w:rsidR="00DB1B17">
          <w:rPr>
            <w:webHidden/>
          </w:rPr>
        </w:r>
        <w:r w:rsidR="00DB1B17">
          <w:rPr>
            <w:webHidden/>
          </w:rPr>
          <w:fldChar w:fldCharType="separate"/>
        </w:r>
        <w:r w:rsidR="00DB1B17">
          <w:rPr>
            <w:webHidden/>
          </w:rPr>
          <w:t>4</w:t>
        </w:r>
        <w:r w:rsidR="00DB1B17">
          <w:rPr>
            <w:webHidden/>
          </w:rPr>
          <w:fldChar w:fldCharType="end"/>
        </w:r>
      </w:hyperlink>
    </w:p>
    <w:p w14:paraId="1F44A630" w14:textId="6AABD4C7" w:rsidR="00DB1B17" w:rsidRDefault="003810C5">
      <w:pPr>
        <w:pStyle w:val="Sommario2"/>
        <w:rPr>
          <w:rFonts w:asciiTheme="minorHAnsi" w:eastAsiaTheme="minorEastAsia" w:hAnsiTheme="minorHAnsi" w:cstheme="minorBidi"/>
          <w:noProof/>
          <w:sz w:val="22"/>
          <w:szCs w:val="22"/>
        </w:rPr>
      </w:pPr>
      <w:hyperlink w:anchor="_Toc92569711" w:history="1">
        <w:r w:rsidR="00DB1B17" w:rsidRPr="00CA079F">
          <w:rPr>
            <w:rStyle w:val="Collegamentoipertestuale"/>
            <w:rFonts w:eastAsia="Times"/>
            <w:noProof/>
          </w:rPr>
          <w:t>2.1</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Perimetro della gestione/affidamento e servizi forniti</w:t>
        </w:r>
        <w:r w:rsidR="00DB1B17">
          <w:rPr>
            <w:noProof/>
            <w:webHidden/>
          </w:rPr>
          <w:tab/>
        </w:r>
        <w:r w:rsidR="00DB1B17">
          <w:rPr>
            <w:noProof/>
            <w:webHidden/>
          </w:rPr>
          <w:fldChar w:fldCharType="begin"/>
        </w:r>
        <w:r w:rsidR="00DB1B17">
          <w:rPr>
            <w:noProof/>
            <w:webHidden/>
          </w:rPr>
          <w:instrText xml:space="preserve"> PAGEREF _Toc92569711 \h </w:instrText>
        </w:r>
        <w:r w:rsidR="00DB1B17">
          <w:rPr>
            <w:noProof/>
            <w:webHidden/>
          </w:rPr>
        </w:r>
        <w:r w:rsidR="00DB1B17">
          <w:rPr>
            <w:noProof/>
            <w:webHidden/>
          </w:rPr>
          <w:fldChar w:fldCharType="separate"/>
        </w:r>
        <w:r w:rsidR="00DB1B17">
          <w:rPr>
            <w:noProof/>
            <w:webHidden/>
          </w:rPr>
          <w:t>4</w:t>
        </w:r>
        <w:r w:rsidR="00DB1B17">
          <w:rPr>
            <w:noProof/>
            <w:webHidden/>
          </w:rPr>
          <w:fldChar w:fldCharType="end"/>
        </w:r>
      </w:hyperlink>
    </w:p>
    <w:p w14:paraId="27A8457F" w14:textId="4AF623AB" w:rsidR="00DB1B17" w:rsidRDefault="003810C5">
      <w:pPr>
        <w:pStyle w:val="Sommario2"/>
        <w:rPr>
          <w:rFonts w:asciiTheme="minorHAnsi" w:eastAsiaTheme="minorEastAsia" w:hAnsiTheme="minorHAnsi" w:cstheme="minorBidi"/>
          <w:noProof/>
          <w:sz w:val="22"/>
          <w:szCs w:val="22"/>
        </w:rPr>
      </w:pPr>
      <w:hyperlink w:anchor="_Toc92569712" w:history="1">
        <w:r w:rsidR="00DB1B17" w:rsidRPr="00CA079F">
          <w:rPr>
            <w:rStyle w:val="Collegamentoipertestuale"/>
            <w:rFonts w:eastAsia="Times"/>
            <w:noProof/>
          </w:rPr>
          <w:t>2.2</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Altre informazioni rilevanti</w:t>
        </w:r>
        <w:r w:rsidR="00DB1B17">
          <w:rPr>
            <w:noProof/>
            <w:webHidden/>
          </w:rPr>
          <w:tab/>
        </w:r>
        <w:r w:rsidR="00DB1B17">
          <w:rPr>
            <w:noProof/>
            <w:webHidden/>
          </w:rPr>
          <w:fldChar w:fldCharType="begin"/>
        </w:r>
        <w:r w:rsidR="00DB1B17">
          <w:rPr>
            <w:noProof/>
            <w:webHidden/>
          </w:rPr>
          <w:instrText xml:space="preserve"> PAGEREF _Toc92569712 \h </w:instrText>
        </w:r>
        <w:r w:rsidR="00DB1B17">
          <w:rPr>
            <w:noProof/>
            <w:webHidden/>
          </w:rPr>
        </w:r>
        <w:r w:rsidR="00DB1B17">
          <w:rPr>
            <w:noProof/>
            <w:webHidden/>
          </w:rPr>
          <w:fldChar w:fldCharType="separate"/>
        </w:r>
        <w:r w:rsidR="00DB1B17">
          <w:rPr>
            <w:noProof/>
            <w:webHidden/>
          </w:rPr>
          <w:t>5</w:t>
        </w:r>
        <w:r w:rsidR="00DB1B17">
          <w:rPr>
            <w:noProof/>
            <w:webHidden/>
          </w:rPr>
          <w:fldChar w:fldCharType="end"/>
        </w:r>
      </w:hyperlink>
    </w:p>
    <w:p w14:paraId="7D7EEC9A" w14:textId="123721DF" w:rsidR="00DB1B17" w:rsidRDefault="003810C5">
      <w:pPr>
        <w:pStyle w:val="Sommario1"/>
        <w:rPr>
          <w:rFonts w:asciiTheme="minorHAnsi" w:eastAsiaTheme="minorEastAsia" w:hAnsiTheme="minorHAnsi" w:cstheme="minorBidi"/>
          <w:b w:val="0"/>
          <w:sz w:val="22"/>
          <w:szCs w:val="22"/>
        </w:rPr>
      </w:pPr>
      <w:hyperlink w:anchor="_Toc92569713" w:history="1">
        <w:r w:rsidR="00DB1B17" w:rsidRPr="00CA079F">
          <w:rPr>
            <w:rStyle w:val="Collegamentoipertestuale"/>
          </w:rPr>
          <w:t>3</w:t>
        </w:r>
        <w:r w:rsidR="00DB1B17">
          <w:rPr>
            <w:rFonts w:asciiTheme="minorHAnsi" w:eastAsiaTheme="minorEastAsia" w:hAnsiTheme="minorHAnsi" w:cstheme="minorBidi"/>
            <w:b w:val="0"/>
            <w:sz w:val="22"/>
            <w:szCs w:val="22"/>
          </w:rPr>
          <w:tab/>
        </w:r>
        <w:r w:rsidR="00DB1B17" w:rsidRPr="00CA079F">
          <w:rPr>
            <w:rStyle w:val="Collegamentoipertestuale"/>
          </w:rPr>
          <w:t>Dati relativi alla gestione dell’ambito tariffario</w:t>
        </w:r>
        <w:r w:rsidR="00DB1B17">
          <w:rPr>
            <w:webHidden/>
          </w:rPr>
          <w:tab/>
        </w:r>
        <w:r w:rsidR="00DB1B17">
          <w:rPr>
            <w:webHidden/>
          </w:rPr>
          <w:fldChar w:fldCharType="begin"/>
        </w:r>
        <w:r w:rsidR="00DB1B17">
          <w:rPr>
            <w:webHidden/>
          </w:rPr>
          <w:instrText xml:space="preserve"> PAGEREF _Toc92569713 \h </w:instrText>
        </w:r>
        <w:r w:rsidR="00DB1B17">
          <w:rPr>
            <w:webHidden/>
          </w:rPr>
        </w:r>
        <w:r w:rsidR="00DB1B17">
          <w:rPr>
            <w:webHidden/>
          </w:rPr>
          <w:fldChar w:fldCharType="separate"/>
        </w:r>
        <w:r w:rsidR="00DB1B17">
          <w:rPr>
            <w:webHidden/>
          </w:rPr>
          <w:t>5</w:t>
        </w:r>
        <w:r w:rsidR="00DB1B17">
          <w:rPr>
            <w:webHidden/>
          </w:rPr>
          <w:fldChar w:fldCharType="end"/>
        </w:r>
      </w:hyperlink>
    </w:p>
    <w:p w14:paraId="0947DD7D" w14:textId="0C2CE6E1" w:rsidR="00DB1B17" w:rsidRDefault="003810C5">
      <w:pPr>
        <w:pStyle w:val="Sommario2"/>
        <w:rPr>
          <w:rFonts w:asciiTheme="minorHAnsi" w:eastAsiaTheme="minorEastAsia" w:hAnsiTheme="minorHAnsi" w:cstheme="minorBidi"/>
          <w:noProof/>
          <w:sz w:val="22"/>
          <w:szCs w:val="22"/>
        </w:rPr>
      </w:pPr>
      <w:hyperlink w:anchor="_Toc92569714" w:history="1">
        <w:r w:rsidR="00DB1B17" w:rsidRPr="00CA079F">
          <w:rPr>
            <w:rStyle w:val="Collegamentoipertestuale"/>
            <w:rFonts w:eastAsia="Times"/>
            <w:noProof/>
          </w:rPr>
          <w:t>3.1</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Dati tecnici e patrimoniali</w:t>
        </w:r>
        <w:r w:rsidR="00DB1B17">
          <w:rPr>
            <w:noProof/>
            <w:webHidden/>
          </w:rPr>
          <w:tab/>
        </w:r>
        <w:r w:rsidR="00DB1B17">
          <w:rPr>
            <w:noProof/>
            <w:webHidden/>
          </w:rPr>
          <w:fldChar w:fldCharType="begin"/>
        </w:r>
        <w:r w:rsidR="00DB1B17">
          <w:rPr>
            <w:noProof/>
            <w:webHidden/>
          </w:rPr>
          <w:instrText xml:space="preserve"> PAGEREF _Toc92569714 \h </w:instrText>
        </w:r>
        <w:r w:rsidR="00DB1B17">
          <w:rPr>
            <w:noProof/>
            <w:webHidden/>
          </w:rPr>
        </w:r>
        <w:r w:rsidR="00DB1B17">
          <w:rPr>
            <w:noProof/>
            <w:webHidden/>
          </w:rPr>
          <w:fldChar w:fldCharType="separate"/>
        </w:r>
        <w:r w:rsidR="00DB1B17">
          <w:rPr>
            <w:noProof/>
            <w:webHidden/>
          </w:rPr>
          <w:t>5</w:t>
        </w:r>
        <w:r w:rsidR="00DB1B17">
          <w:rPr>
            <w:noProof/>
            <w:webHidden/>
          </w:rPr>
          <w:fldChar w:fldCharType="end"/>
        </w:r>
      </w:hyperlink>
    </w:p>
    <w:p w14:paraId="2508BC89" w14:textId="344837DA" w:rsidR="00DB1B17" w:rsidRDefault="003810C5">
      <w:pPr>
        <w:pStyle w:val="Sommario3"/>
        <w:tabs>
          <w:tab w:val="left" w:pos="1871"/>
        </w:tabs>
        <w:rPr>
          <w:rFonts w:asciiTheme="minorHAnsi" w:eastAsiaTheme="minorEastAsia" w:hAnsiTheme="minorHAnsi" w:cstheme="minorBidi"/>
          <w:noProof/>
          <w:sz w:val="22"/>
          <w:szCs w:val="22"/>
        </w:rPr>
      </w:pPr>
      <w:hyperlink w:anchor="_Toc92569715" w:history="1">
        <w:r w:rsidR="00DB1B17" w:rsidRPr="00CA079F">
          <w:rPr>
            <w:rStyle w:val="Collegamentoipertestuale"/>
            <w:rFonts w:eastAsia="Times"/>
            <w:noProof/>
          </w:rPr>
          <w:t>3.1.1</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Dati sul territorio gestito e sull’affidamento</w:t>
        </w:r>
        <w:r w:rsidR="00DB1B17">
          <w:rPr>
            <w:noProof/>
            <w:webHidden/>
          </w:rPr>
          <w:tab/>
        </w:r>
        <w:r w:rsidR="00DB1B17">
          <w:rPr>
            <w:noProof/>
            <w:webHidden/>
          </w:rPr>
          <w:fldChar w:fldCharType="begin"/>
        </w:r>
        <w:r w:rsidR="00DB1B17">
          <w:rPr>
            <w:noProof/>
            <w:webHidden/>
          </w:rPr>
          <w:instrText xml:space="preserve"> PAGEREF _Toc92569715 \h </w:instrText>
        </w:r>
        <w:r w:rsidR="00DB1B17">
          <w:rPr>
            <w:noProof/>
            <w:webHidden/>
          </w:rPr>
        </w:r>
        <w:r w:rsidR="00DB1B17">
          <w:rPr>
            <w:noProof/>
            <w:webHidden/>
          </w:rPr>
          <w:fldChar w:fldCharType="separate"/>
        </w:r>
        <w:r w:rsidR="00DB1B17">
          <w:rPr>
            <w:noProof/>
            <w:webHidden/>
          </w:rPr>
          <w:t>5</w:t>
        </w:r>
        <w:r w:rsidR="00DB1B17">
          <w:rPr>
            <w:noProof/>
            <w:webHidden/>
          </w:rPr>
          <w:fldChar w:fldCharType="end"/>
        </w:r>
      </w:hyperlink>
    </w:p>
    <w:p w14:paraId="5B35891E" w14:textId="78705B61" w:rsidR="00DB1B17" w:rsidRDefault="003810C5">
      <w:pPr>
        <w:pStyle w:val="Sommario3"/>
        <w:tabs>
          <w:tab w:val="left" w:pos="1871"/>
        </w:tabs>
        <w:rPr>
          <w:rFonts w:asciiTheme="minorHAnsi" w:eastAsiaTheme="minorEastAsia" w:hAnsiTheme="minorHAnsi" w:cstheme="minorBidi"/>
          <w:noProof/>
          <w:sz w:val="22"/>
          <w:szCs w:val="22"/>
        </w:rPr>
      </w:pPr>
      <w:hyperlink w:anchor="_Toc92569716" w:history="1">
        <w:r w:rsidR="00DB1B17" w:rsidRPr="00CA079F">
          <w:rPr>
            <w:rStyle w:val="Collegamentoipertestuale"/>
            <w:rFonts w:eastAsia="Times"/>
            <w:noProof/>
          </w:rPr>
          <w:t>3.1.2</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Dati tecnici e di qualità</w:t>
        </w:r>
        <w:r w:rsidR="00DB1B17">
          <w:rPr>
            <w:noProof/>
            <w:webHidden/>
          </w:rPr>
          <w:tab/>
        </w:r>
        <w:r w:rsidR="00DB1B17">
          <w:rPr>
            <w:noProof/>
            <w:webHidden/>
          </w:rPr>
          <w:fldChar w:fldCharType="begin"/>
        </w:r>
        <w:r w:rsidR="00DB1B17">
          <w:rPr>
            <w:noProof/>
            <w:webHidden/>
          </w:rPr>
          <w:instrText xml:space="preserve"> PAGEREF _Toc92569716 \h </w:instrText>
        </w:r>
        <w:r w:rsidR="00DB1B17">
          <w:rPr>
            <w:noProof/>
            <w:webHidden/>
          </w:rPr>
        </w:r>
        <w:r w:rsidR="00DB1B17">
          <w:rPr>
            <w:noProof/>
            <w:webHidden/>
          </w:rPr>
          <w:fldChar w:fldCharType="separate"/>
        </w:r>
        <w:r w:rsidR="00DB1B17">
          <w:rPr>
            <w:noProof/>
            <w:webHidden/>
          </w:rPr>
          <w:t>5</w:t>
        </w:r>
        <w:r w:rsidR="00DB1B17">
          <w:rPr>
            <w:noProof/>
            <w:webHidden/>
          </w:rPr>
          <w:fldChar w:fldCharType="end"/>
        </w:r>
      </w:hyperlink>
    </w:p>
    <w:p w14:paraId="2FDA2A54" w14:textId="54DC118E" w:rsidR="00DB1B17" w:rsidRDefault="003810C5">
      <w:pPr>
        <w:pStyle w:val="Sommario3"/>
        <w:tabs>
          <w:tab w:val="left" w:pos="1871"/>
        </w:tabs>
        <w:rPr>
          <w:rFonts w:asciiTheme="minorHAnsi" w:eastAsiaTheme="minorEastAsia" w:hAnsiTheme="minorHAnsi" w:cstheme="minorBidi"/>
          <w:noProof/>
          <w:sz w:val="22"/>
          <w:szCs w:val="22"/>
        </w:rPr>
      </w:pPr>
      <w:hyperlink w:anchor="_Toc92569717" w:history="1">
        <w:r w:rsidR="00DB1B17" w:rsidRPr="00CA079F">
          <w:rPr>
            <w:rStyle w:val="Collegamentoipertestuale"/>
            <w:rFonts w:eastAsia="Times"/>
            <w:noProof/>
          </w:rPr>
          <w:t>3.1.3</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Fonti di finanziamento</w:t>
        </w:r>
        <w:r w:rsidR="00DB1B17">
          <w:rPr>
            <w:noProof/>
            <w:webHidden/>
          </w:rPr>
          <w:tab/>
        </w:r>
        <w:r w:rsidR="00DB1B17">
          <w:rPr>
            <w:noProof/>
            <w:webHidden/>
          </w:rPr>
          <w:fldChar w:fldCharType="begin"/>
        </w:r>
        <w:r w:rsidR="00DB1B17">
          <w:rPr>
            <w:noProof/>
            <w:webHidden/>
          </w:rPr>
          <w:instrText xml:space="preserve"> PAGEREF _Toc92569717 \h </w:instrText>
        </w:r>
        <w:r w:rsidR="00DB1B17">
          <w:rPr>
            <w:noProof/>
            <w:webHidden/>
          </w:rPr>
        </w:r>
        <w:r w:rsidR="00DB1B17">
          <w:rPr>
            <w:noProof/>
            <w:webHidden/>
          </w:rPr>
          <w:fldChar w:fldCharType="separate"/>
        </w:r>
        <w:r w:rsidR="00DB1B17">
          <w:rPr>
            <w:noProof/>
            <w:webHidden/>
          </w:rPr>
          <w:t>6</w:t>
        </w:r>
        <w:r w:rsidR="00DB1B17">
          <w:rPr>
            <w:noProof/>
            <w:webHidden/>
          </w:rPr>
          <w:fldChar w:fldCharType="end"/>
        </w:r>
      </w:hyperlink>
    </w:p>
    <w:p w14:paraId="5F96979B" w14:textId="28F71484" w:rsidR="00DB1B17" w:rsidRDefault="003810C5">
      <w:pPr>
        <w:pStyle w:val="Sommario2"/>
        <w:rPr>
          <w:rFonts w:asciiTheme="minorHAnsi" w:eastAsiaTheme="minorEastAsia" w:hAnsiTheme="minorHAnsi" w:cstheme="minorBidi"/>
          <w:noProof/>
          <w:sz w:val="22"/>
          <w:szCs w:val="22"/>
        </w:rPr>
      </w:pPr>
      <w:hyperlink w:anchor="_Toc92569718" w:history="1">
        <w:r w:rsidR="00DB1B17" w:rsidRPr="00CA079F">
          <w:rPr>
            <w:rStyle w:val="Collegamentoipertestuale"/>
            <w:rFonts w:eastAsia="Times"/>
            <w:noProof/>
          </w:rPr>
          <w:t>3.2</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Dati per la determinazione delle entrate di riferimento</w:t>
        </w:r>
        <w:r w:rsidR="00DB1B17">
          <w:rPr>
            <w:noProof/>
            <w:webHidden/>
          </w:rPr>
          <w:tab/>
        </w:r>
        <w:r w:rsidR="00DB1B17">
          <w:rPr>
            <w:noProof/>
            <w:webHidden/>
          </w:rPr>
          <w:fldChar w:fldCharType="begin"/>
        </w:r>
        <w:r w:rsidR="00DB1B17">
          <w:rPr>
            <w:noProof/>
            <w:webHidden/>
          </w:rPr>
          <w:instrText xml:space="preserve"> PAGEREF _Toc92569718 \h </w:instrText>
        </w:r>
        <w:r w:rsidR="00DB1B17">
          <w:rPr>
            <w:noProof/>
            <w:webHidden/>
          </w:rPr>
        </w:r>
        <w:r w:rsidR="00DB1B17">
          <w:rPr>
            <w:noProof/>
            <w:webHidden/>
          </w:rPr>
          <w:fldChar w:fldCharType="separate"/>
        </w:r>
        <w:r w:rsidR="00DB1B17">
          <w:rPr>
            <w:noProof/>
            <w:webHidden/>
          </w:rPr>
          <w:t>6</w:t>
        </w:r>
        <w:r w:rsidR="00DB1B17">
          <w:rPr>
            <w:noProof/>
            <w:webHidden/>
          </w:rPr>
          <w:fldChar w:fldCharType="end"/>
        </w:r>
      </w:hyperlink>
    </w:p>
    <w:p w14:paraId="2F42ECE7" w14:textId="1090412E" w:rsidR="00DB1B17" w:rsidRDefault="003810C5">
      <w:pPr>
        <w:pStyle w:val="Sommario3"/>
        <w:tabs>
          <w:tab w:val="left" w:pos="1871"/>
        </w:tabs>
        <w:rPr>
          <w:rFonts w:asciiTheme="minorHAnsi" w:eastAsiaTheme="minorEastAsia" w:hAnsiTheme="minorHAnsi" w:cstheme="minorBidi"/>
          <w:noProof/>
          <w:sz w:val="22"/>
          <w:szCs w:val="22"/>
        </w:rPr>
      </w:pPr>
      <w:hyperlink w:anchor="_Toc92569719" w:history="1">
        <w:r w:rsidR="00DB1B17" w:rsidRPr="00CA079F">
          <w:rPr>
            <w:rStyle w:val="Collegamentoipertestuale"/>
            <w:rFonts w:eastAsia="Times"/>
            <w:noProof/>
          </w:rPr>
          <w:t>3.2.1</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Dati di conto economico</w:t>
        </w:r>
        <w:r w:rsidR="00DB1B17">
          <w:rPr>
            <w:noProof/>
            <w:webHidden/>
          </w:rPr>
          <w:tab/>
        </w:r>
        <w:r w:rsidR="00DB1B17">
          <w:rPr>
            <w:noProof/>
            <w:webHidden/>
          </w:rPr>
          <w:fldChar w:fldCharType="begin"/>
        </w:r>
        <w:r w:rsidR="00DB1B17">
          <w:rPr>
            <w:noProof/>
            <w:webHidden/>
          </w:rPr>
          <w:instrText xml:space="preserve"> PAGEREF _Toc92569719 \h </w:instrText>
        </w:r>
        <w:r w:rsidR="00DB1B17">
          <w:rPr>
            <w:noProof/>
            <w:webHidden/>
          </w:rPr>
        </w:r>
        <w:r w:rsidR="00DB1B17">
          <w:rPr>
            <w:noProof/>
            <w:webHidden/>
          </w:rPr>
          <w:fldChar w:fldCharType="separate"/>
        </w:r>
        <w:r w:rsidR="00DB1B17">
          <w:rPr>
            <w:noProof/>
            <w:webHidden/>
          </w:rPr>
          <w:t>7</w:t>
        </w:r>
        <w:r w:rsidR="00DB1B17">
          <w:rPr>
            <w:noProof/>
            <w:webHidden/>
          </w:rPr>
          <w:fldChar w:fldCharType="end"/>
        </w:r>
      </w:hyperlink>
    </w:p>
    <w:p w14:paraId="35871A5B" w14:textId="7271D6C7" w:rsidR="00DB1B17" w:rsidRDefault="003810C5">
      <w:pPr>
        <w:pStyle w:val="Sommario3"/>
        <w:tabs>
          <w:tab w:val="left" w:pos="1871"/>
        </w:tabs>
        <w:rPr>
          <w:rFonts w:asciiTheme="minorHAnsi" w:eastAsiaTheme="minorEastAsia" w:hAnsiTheme="minorHAnsi" w:cstheme="minorBidi"/>
          <w:noProof/>
          <w:sz w:val="22"/>
          <w:szCs w:val="22"/>
        </w:rPr>
      </w:pPr>
      <w:hyperlink w:anchor="_Toc92569720" w:history="1">
        <w:r w:rsidR="00DB1B17" w:rsidRPr="00CA079F">
          <w:rPr>
            <w:rStyle w:val="Collegamentoipertestuale"/>
            <w:rFonts w:eastAsia="Times"/>
            <w:noProof/>
          </w:rPr>
          <w:t>3.2.2</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Focus sugli altri ricavi</w:t>
        </w:r>
        <w:r w:rsidR="00DB1B17">
          <w:rPr>
            <w:noProof/>
            <w:webHidden/>
          </w:rPr>
          <w:tab/>
        </w:r>
        <w:r w:rsidR="00DB1B17">
          <w:rPr>
            <w:noProof/>
            <w:webHidden/>
          </w:rPr>
          <w:fldChar w:fldCharType="begin"/>
        </w:r>
        <w:r w:rsidR="00DB1B17">
          <w:rPr>
            <w:noProof/>
            <w:webHidden/>
          </w:rPr>
          <w:instrText xml:space="preserve"> PAGEREF _Toc92569720 \h </w:instrText>
        </w:r>
        <w:r w:rsidR="00DB1B17">
          <w:rPr>
            <w:noProof/>
            <w:webHidden/>
          </w:rPr>
        </w:r>
        <w:r w:rsidR="00DB1B17">
          <w:rPr>
            <w:noProof/>
            <w:webHidden/>
          </w:rPr>
          <w:fldChar w:fldCharType="separate"/>
        </w:r>
        <w:r w:rsidR="00DB1B17">
          <w:rPr>
            <w:noProof/>
            <w:webHidden/>
          </w:rPr>
          <w:t>8</w:t>
        </w:r>
        <w:r w:rsidR="00DB1B17">
          <w:rPr>
            <w:noProof/>
            <w:webHidden/>
          </w:rPr>
          <w:fldChar w:fldCharType="end"/>
        </w:r>
      </w:hyperlink>
    </w:p>
    <w:p w14:paraId="1B0AF6FE" w14:textId="07E1EC2B" w:rsidR="00DB1B17" w:rsidRDefault="003810C5">
      <w:pPr>
        <w:pStyle w:val="Sommario3"/>
        <w:tabs>
          <w:tab w:val="left" w:pos="1871"/>
        </w:tabs>
        <w:rPr>
          <w:rFonts w:asciiTheme="minorHAnsi" w:eastAsiaTheme="minorEastAsia" w:hAnsiTheme="minorHAnsi" w:cstheme="minorBidi"/>
          <w:noProof/>
          <w:sz w:val="22"/>
          <w:szCs w:val="22"/>
        </w:rPr>
      </w:pPr>
      <w:hyperlink w:anchor="_Toc92569721" w:history="1">
        <w:r w:rsidR="00DB1B17" w:rsidRPr="00CA079F">
          <w:rPr>
            <w:rStyle w:val="Collegamentoipertestuale"/>
            <w:rFonts w:eastAsia="Times"/>
            <w:noProof/>
          </w:rPr>
          <w:t>3.2.3</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Componenti di costo previsionali</w:t>
        </w:r>
        <w:r w:rsidR="00DB1B17">
          <w:rPr>
            <w:noProof/>
            <w:webHidden/>
          </w:rPr>
          <w:tab/>
        </w:r>
        <w:r w:rsidR="00DB1B17">
          <w:rPr>
            <w:noProof/>
            <w:webHidden/>
          </w:rPr>
          <w:fldChar w:fldCharType="begin"/>
        </w:r>
        <w:r w:rsidR="00DB1B17">
          <w:rPr>
            <w:noProof/>
            <w:webHidden/>
          </w:rPr>
          <w:instrText xml:space="preserve"> PAGEREF _Toc92569721 \h </w:instrText>
        </w:r>
        <w:r w:rsidR="00DB1B17">
          <w:rPr>
            <w:noProof/>
            <w:webHidden/>
          </w:rPr>
        </w:r>
        <w:r w:rsidR="00DB1B17">
          <w:rPr>
            <w:noProof/>
            <w:webHidden/>
          </w:rPr>
          <w:fldChar w:fldCharType="separate"/>
        </w:r>
        <w:r w:rsidR="00DB1B17">
          <w:rPr>
            <w:noProof/>
            <w:webHidden/>
          </w:rPr>
          <w:t>9</w:t>
        </w:r>
        <w:r w:rsidR="00DB1B17">
          <w:rPr>
            <w:noProof/>
            <w:webHidden/>
          </w:rPr>
          <w:fldChar w:fldCharType="end"/>
        </w:r>
      </w:hyperlink>
    </w:p>
    <w:p w14:paraId="0EB23143" w14:textId="40B56CB6" w:rsidR="00DB1B17" w:rsidRDefault="003810C5">
      <w:pPr>
        <w:pStyle w:val="Sommario3"/>
        <w:tabs>
          <w:tab w:val="left" w:pos="1871"/>
        </w:tabs>
        <w:rPr>
          <w:rFonts w:asciiTheme="minorHAnsi" w:eastAsiaTheme="minorEastAsia" w:hAnsiTheme="minorHAnsi" w:cstheme="minorBidi"/>
          <w:noProof/>
          <w:sz w:val="22"/>
          <w:szCs w:val="22"/>
        </w:rPr>
      </w:pPr>
      <w:hyperlink w:anchor="_Toc92569722" w:history="1">
        <w:r w:rsidR="00DB1B17" w:rsidRPr="00CA079F">
          <w:rPr>
            <w:rStyle w:val="Collegamentoipertestuale"/>
            <w:rFonts w:eastAsia="Times"/>
            <w:noProof/>
          </w:rPr>
          <w:t>3.2.4</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Dati relativi ai costi di capitale</w:t>
        </w:r>
        <w:r w:rsidR="00DB1B17">
          <w:rPr>
            <w:noProof/>
            <w:webHidden/>
          </w:rPr>
          <w:tab/>
        </w:r>
        <w:r w:rsidR="00DB1B17">
          <w:rPr>
            <w:noProof/>
            <w:webHidden/>
          </w:rPr>
          <w:fldChar w:fldCharType="begin"/>
        </w:r>
        <w:r w:rsidR="00DB1B17">
          <w:rPr>
            <w:noProof/>
            <w:webHidden/>
          </w:rPr>
          <w:instrText xml:space="preserve"> PAGEREF _Toc92569722 \h </w:instrText>
        </w:r>
        <w:r w:rsidR="00DB1B17">
          <w:rPr>
            <w:noProof/>
            <w:webHidden/>
          </w:rPr>
        </w:r>
        <w:r w:rsidR="00DB1B17">
          <w:rPr>
            <w:noProof/>
            <w:webHidden/>
          </w:rPr>
          <w:fldChar w:fldCharType="separate"/>
        </w:r>
        <w:r w:rsidR="00DB1B17">
          <w:rPr>
            <w:noProof/>
            <w:webHidden/>
          </w:rPr>
          <w:t>9</w:t>
        </w:r>
        <w:r w:rsidR="00DB1B17">
          <w:rPr>
            <w:noProof/>
            <w:webHidden/>
          </w:rPr>
          <w:fldChar w:fldCharType="end"/>
        </w:r>
      </w:hyperlink>
    </w:p>
    <w:p w14:paraId="651899A6" w14:textId="6353B727" w:rsidR="00DB1B17" w:rsidRDefault="003810C5">
      <w:pPr>
        <w:pStyle w:val="Sommario1"/>
        <w:rPr>
          <w:rFonts w:asciiTheme="minorHAnsi" w:eastAsiaTheme="minorEastAsia" w:hAnsiTheme="minorHAnsi" w:cstheme="minorBidi"/>
          <w:b w:val="0"/>
          <w:sz w:val="22"/>
          <w:szCs w:val="22"/>
        </w:rPr>
      </w:pPr>
      <w:hyperlink w:anchor="_Toc92569723" w:history="1">
        <w:r w:rsidR="00DB1B17" w:rsidRPr="00CA079F">
          <w:rPr>
            <w:rStyle w:val="Collegamentoipertestuale"/>
          </w:rPr>
          <w:t>4</w:t>
        </w:r>
        <w:r w:rsidR="00DB1B17">
          <w:rPr>
            <w:rFonts w:asciiTheme="minorHAnsi" w:eastAsiaTheme="minorEastAsia" w:hAnsiTheme="minorHAnsi" w:cstheme="minorBidi"/>
            <w:b w:val="0"/>
            <w:sz w:val="22"/>
            <w:szCs w:val="22"/>
          </w:rPr>
          <w:tab/>
        </w:r>
        <w:r w:rsidR="00DB1B17" w:rsidRPr="00CA079F">
          <w:rPr>
            <w:rStyle w:val="Collegamentoipertestuale"/>
          </w:rPr>
          <w:t>Attività di validazione</w:t>
        </w:r>
        <w:r w:rsidR="00DB1B17">
          <w:rPr>
            <w:webHidden/>
          </w:rPr>
          <w:tab/>
        </w:r>
        <w:r w:rsidR="00DB1B17">
          <w:rPr>
            <w:webHidden/>
          </w:rPr>
          <w:fldChar w:fldCharType="begin"/>
        </w:r>
        <w:r w:rsidR="00DB1B17">
          <w:rPr>
            <w:webHidden/>
          </w:rPr>
          <w:instrText xml:space="preserve"> PAGEREF _Toc92569723 \h </w:instrText>
        </w:r>
        <w:r w:rsidR="00DB1B17">
          <w:rPr>
            <w:webHidden/>
          </w:rPr>
        </w:r>
        <w:r w:rsidR="00DB1B17">
          <w:rPr>
            <w:webHidden/>
          </w:rPr>
          <w:fldChar w:fldCharType="separate"/>
        </w:r>
        <w:r w:rsidR="00DB1B17">
          <w:rPr>
            <w:webHidden/>
          </w:rPr>
          <w:t>10</w:t>
        </w:r>
        <w:r w:rsidR="00DB1B17">
          <w:rPr>
            <w:webHidden/>
          </w:rPr>
          <w:fldChar w:fldCharType="end"/>
        </w:r>
      </w:hyperlink>
    </w:p>
    <w:p w14:paraId="7BCB6BFD" w14:textId="2DF31924" w:rsidR="00DB1B17" w:rsidRDefault="003810C5">
      <w:pPr>
        <w:pStyle w:val="Sommario1"/>
        <w:rPr>
          <w:rFonts w:asciiTheme="minorHAnsi" w:eastAsiaTheme="minorEastAsia" w:hAnsiTheme="minorHAnsi" w:cstheme="minorBidi"/>
          <w:b w:val="0"/>
          <w:sz w:val="22"/>
          <w:szCs w:val="22"/>
        </w:rPr>
      </w:pPr>
      <w:hyperlink w:anchor="_Toc92569724" w:history="1">
        <w:r w:rsidR="00DB1B17" w:rsidRPr="00CA079F">
          <w:rPr>
            <w:rStyle w:val="Collegamentoipertestuale"/>
          </w:rPr>
          <w:t>5</w:t>
        </w:r>
        <w:r w:rsidR="00DB1B17">
          <w:rPr>
            <w:rFonts w:asciiTheme="minorHAnsi" w:eastAsiaTheme="minorEastAsia" w:hAnsiTheme="minorHAnsi" w:cstheme="minorBidi"/>
            <w:b w:val="0"/>
            <w:sz w:val="22"/>
            <w:szCs w:val="22"/>
          </w:rPr>
          <w:tab/>
        </w:r>
        <w:r w:rsidR="00DB1B17" w:rsidRPr="00CA079F">
          <w:rPr>
            <w:rStyle w:val="Collegamentoipertestuale"/>
          </w:rPr>
          <w:t>Valutazioni di competenza dell’Ente territorialmente competente</w:t>
        </w:r>
        <w:r w:rsidR="00DB1B17">
          <w:rPr>
            <w:webHidden/>
          </w:rPr>
          <w:tab/>
        </w:r>
        <w:r w:rsidR="00DB1B17">
          <w:rPr>
            <w:webHidden/>
          </w:rPr>
          <w:fldChar w:fldCharType="begin"/>
        </w:r>
        <w:r w:rsidR="00DB1B17">
          <w:rPr>
            <w:webHidden/>
          </w:rPr>
          <w:instrText xml:space="preserve"> PAGEREF _Toc92569724 \h </w:instrText>
        </w:r>
        <w:r w:rsidR="00DB1B17">
          <w:rPr>
            <w:webHidden/>
          </w:rPr>
        </w:r>
        <w:r w:rsidR="00DB1B17">
          <w:rPr>
            <w:webHidden/>
          </w:rPr>
          <w:fldChar w:fldCharType="separate"/>
        </w:r>
        <w:r w:rsidR="00DB1B17">
          <w:rPr>
            <w:webHidden/>
          </w:rPr>
          <w:t>10</w:t>
        </w:r>
        <w:r w:rsidR="00DB1B17">
          <w:rPr>
            <w:webHidden/>
          </w:rPr>
          <w:fldChar w:fldCharType="end"/>
        </w:r>
      </w:hyperlink>
    </w:p>
    <w:p w14:paraId="45FABE53" w14:textId="22996AC5" w:rsidR="00DB1B17" w:rsidRDefault="003810C5">
      <w:pPr>
        <w:pStyle w:val="Sommario2"/>
        <w:rPr>
          <w:rFonts w:asciiTheme="minorHAnsi" w:eastAsiaTheme="minorEastAsia" w:hAnsiTheme="minorHAnsi" w:cstheme="minorBidi"/>
          <w:noProof/>
          <w:sz w:val="22"/>
          <w:szCs w:val="22"/>
        </w:rPr>
      </w:pPr>
      <w:hyperlink w:anchor="_Toc92569725" w:history="1">
        <w:r w:rsidR="00DB1B17" w:rsidRPr="00CA079F">
          <w:rPr>
            <w:rStyle w:val="Collegamentoipertestuale"/>
            <w:rFonts w:eastAsia="Times"/>
            <w:noProof/>
          </w:rPr>
          <w:t>5.1</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Limite alla crescita annuale delle entrate tariffarie</w:t>
        </w:r>
        <w:r w:rsidR="00DB1B17">
          <w:rPr>
            <w:noProof/>
            <w:webHidden/>
          </w:rPr>
          <w:tab/>
        </w:r>
        <w:r w:rsidR="00DB1B17">
          <w:rPr>
            <w:noProof/>
            <w:webHidden/>
          </w:rPr>
          <w:fldChar w:fldCharType="begin"/>
        </w:r>
        <w:r w:rsidR="00DB1B17">
          <w:rPr>
            <w:noProof/>
            <w:webHidden/>
          </w:rPr>
          <w:instrText xml:space="preserve"> PAGEREF _Toc92569725 \h </w:instrText>
        </w:r>
        <w:r w:rsidR="00DB1B17">
          <w:rPr>
            <w:noProof/>
            <w:webHidden/>
          </w:rPr>
        </w:r>
        <w:r w:rsidR="00DB1B17">
          <w:rPr>
            <w:noProof/>
            <w:webHidden/>
          </w:rPr>
          <w:fldChar w:fldCharType="separate"/>
        </w:r>
        <w:r w:rsidR="00DB1B17">
          <w:rPr>
            <w:noProof/>
            <w:webHidden/>
          </w:rPr>
          <w:t>10</w:t>
        </w:r>
        <w:r w:rsidR="00DB1B17">
          <w:rPr>
            <w:noProof/>
            <w:webHidden/>
          </w:rPr>
          <w:fldChar w:fldCharType="end"/>
        </w:r>
      </w:hyperlink>
    </w:p>
    <w:p w14:paraId="3F6441E8" w14:textId="29990B2B" w:rsidR="00DB1B17" w:rsidRDefault="003810C5">
      <w:pPr>
        <w:pStyle w:val="Sommario3"/>
        <w:tabs>
          <w:tab w:val="left" w:pos="1871"/>
        </w:tabs>
        <w:rPr>
          <w:rFonts w:asciiTheme="minorHAnsi" w:eastAsiaTheme="minorEastAsia" w:hAnsiTheme="minorHAnsi" w:cstheme="minorBidi"/>
          <w:noProof/>
          <w:sz w:val="22"/>
          <w:szCs w:val="22"/>
        </w:rPr>
      </w:pPr>
      <w:hyperlink w:anchor="_Toc92569726" w:history="1">
        <w:r w:rsidR="00DB1B17" w:rsidRPr="00CA079F">
          <w:rPr>
            <w:rStyle w:val="Collegamentoipertestuale"/>
            <w:rFonts w:eastAsia="Times"/>
            <w:noProof/>
          </w:rPr>
          <w:t>5.1.1</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Coefficiente di recupero produttività</w:t>
        </w:r>
        <w:r w:rsidR="00DB1B17">
          <w:rPr>
            <w:noProof/>
            <w:webHidden/>
          </w:rPr>
          <w:tab/>
        </w:r>
        <w:r w:rsidR="00DB1B17">
          <w:rPr>
            <w:noProof/>
            <w:webHidden/>
          </w:rPr>
          <w:fldChar w:fldCharType="begin"/>
        </w:r>
        <w:r w:rsidR="00DB1B17">
          <w:rPr>
            <w:noProof/>
            <w:webHidden/>
          </w:rPr>
          <w:instrText xml:space="preserve"> PAGEREF _Toc92569726 \h </w:instrText>
        </w:r>
        <w:r w:rsidR="00DB1B17">
          <w:rPr>
            <w:noProof/>
            <w:webHidden/>
          </w:rPr>
        </w:r>
        <w:r w:rsidR="00DB1B17">
          <w:rPr>
            <w:noProof/>
            <w:webHidden/>
          </w:rPr>
          <w:fldChar w:fldCharType="separate"/>
        </w:r>
        <w:r w:rsidR="00DB1B17">
          <w:rPr>
            <w:noProof/>
            <w:webHidden/>
          </w:rPr>
          <w:t>11</w:t>
        </w:r>
        <w:r w:rsidR="00DB1B17">
          <w:rPr>
            <w:noProof/>
            <w:webHidden/>
          </w:rPr>
          <w:fldChar w:fldCharType="end"/>
        </w:r>
      </w:hyperlink>
    </w:p>
    <w:p w14:paraId="04412D43" w14:textId="02156921" w:rsidR="00DB1B17" w:rsidRDefault="003810C5">
      <w:pPr>
        <w:pStyle w:val="Sommario3"/>
        <w:tabs>
          <w:tab w:val="left" w:pos="1871"/>
        </w:tabs>
        <w:rPr>
          <w:rFonts w:asciiTheme="minorHAnsi" w:eastAsiaTheme="minorEastAsia" w:hAnsiTheme="minorHAnsi" w:cstheme="minorBidi"/>
          <w:noProof/>
          <w:sz w:val="22"/>
          <w:szCs w:val="22"/>
        </w:rPr>
      </w:pPr>
      <w:hyperlink w:anchor="_Toc92569727" w:history="1">
        <w:r w:rsidR="00DB1B17" w:rsidRPr="00CA079F">
          <w:rPr>
            <w:rStyle w:val="Collegamentoipertestuale"/>
            <w:rFonts w:eastAsia="Times"/>
            <w:noProof/>
          </w:rPr>
          <w:t>5.1.2</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Coefficiente QL e PG</w:t>
        </w:r>
        <w:r w:rsidR="00DB1B17">
          <w:rPr>
            <w:noProof/>
            <w:webHidden/>
          </w:rPr>
          <w:tab/>
        </w:r>
        <w:r w:rsidR="00DB1B17">
          <w:rPr>
            <w:noProof/>
            <w:webHidden/>
          </w:rPr>
          <w:fldChar w:fldCharType="begin"/>
        </w:r>
        <w:r w:rsidR="00DB1B17">
          <w:rPr>
            <w:noProof/>
            <w:webHidden/>
          </w:rPr>
          <w:instrText xml:space="preserve"> PAGEREF _Toc92569727 \h </w:instrText>
        </w:r>
        <w:r w:rsidR="00DB1B17">
          <w:rPr>
            <w:noProof/>
            <w:webHidden/>
          </w:rPr>
        </w:r>
        <w:r w:rsidR="00DB1B17">
          <w:rPr>
            <w:noProof/>
            <w:webHidden/>
          </w:rPr>
          <w:fldChar w:fldCharType="separate"/>
        </w:r>
        <w:r w:rsidR="00DB1B17">
          <w:rPr>
            <w:noProof/>
            <w:webHidden/>
          </w:rPr>
          <w:t>14</w:t>
        </w:r>
        <w:r w:rsidR="00DB1B17">
          <w:rPr>
            <w:noProof/>
            <w:webHidden/>
          </w:rPr>
          <w:fldChar w:fldCharType="end"/>
        </w:r>
      </w:hyperlink>
    </w:p>
    <w:p w14:paraId="53721DDC" w14:textId="1B916C7B" w:rsidR="00DB1B17" w:rsidRDefault="003810C5">
      <w:pPr>
        <w:pStyle w:val="Sommario3"/>
        <w:tabs>
          <w:tab w:val="left" w:pos="1871"/>
        </w:tabs>
        <w:rPr>
          <w:rFonts w:asciiTheme="minorHAnsi" w:eastAsiaTheme="minorEastAsia" w:hAnsiTheme="minorHAnsi" w:cstheme="minorBidi"/>
          <w:noProof/>
          <w:sz w:val="22"/>
          <w:szCs w:val="22"/>
        </w:rPr>
      </w:pPr>
      <w:hyperlink w:anchor="_Toc92569728" w:history="1">
        <w:r w:rsidR="00DB1B17" w:rsidRPr="00CA079F">
          <w:rPr>
            <w:rStyle w:val="Collegamentoipertestuale"/>
            <w:rFonts w:eastAsia="Times"/>
            <w:noProof/>
          </w:rPr>
          <w:t>5.1.3</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Coefficiente C116</w:t>
        </w:r>
        <w:r w:rsidR="00DB1B17">
          <w:rPr>
            <w:noProof/>
            <w:webHidden/>
          </w:rPr>
          <w:tab/>
        </w:r>
        <w:r w:rsidR="00DB1B17">
          <w:rPr>
            <w:noProof/>
            <w:webHidden/>
          </w:rPr>
          <w:fldChar w:fldCharType="begin"/>
        </w:r>
        <w:r w:rsidR="00DB1B17">
          <w:rPr>
            <w:noProof/>
            <w:webHidden/>
          </w:rPr>
          <w:instrText xml:space="preserve"> PAGEREF _Toc92569728 \h </w:instrText>
        </w:r>
        <w:r w:rsidR="00DB1B17">
          <w:rPr>
            <w:noProof/>
            <w:webHidden/>
          </w:rPr>
        </w:r>
        <w:r w:rsidR="00DB1B17">
          <w:rPr>
            <w:noProof/>
            <w:webHidden/>
          </w:rPr>
          <w:fldChar w:fldCharType="separate"/>
        </w:r>
        <w:r w:rsidR="00DB1B17">
          <w:rPr>
            <w:noProof/>
            <w:webHidden/>
          </w:rPr>
          <w:t>14</w:t>
        </w:r>
        <w:r w:rsidR="00DB1B17">
          <w:rPr>
            <w:noProof/>
            <w:webHidden/>
          </w:rPr>
          <w:fldChar w:fldCharType="end"/>
        </w:r>
      </w:hyperlink>
    </w:p>
    <w:p w14:paraId="5BF05571" w14:textId="0D8BFF2D" w:rsidR="00DB1B17" w:rsidRDefault="003810C5">
      <w:pPr>
        <w:pStyle w:val="Sommario2"/>
        <w:rPr>
          <w:rFonts w:asciiTheme="minorHAnsi" w:eastAsiaTheme="minorEastAsia" w:hAnsiTheme="minorHAnsi" w:cstheme="minorBidi"/>
          <w:noProof/>
          <w:sz w:val="22"/>
          <w:szCs w:val="22"/>
        </w:rPr>
      </w:pPr>
      <w:hyperlink w:anchor="_Toc92569729" w:history="1">
        <w:r w:rsidR="00DB1B17" w:rsidRPr="00CA079F">
          <w:rPr>
            <w:rStyle w:val="Collegamentoipertestuale"/>
            <w:rFonts w:eastAsia="Times"/>
            <w:noProof/>
          </w:rPr>
          <w:t>5.2</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Costi operativi di gestione associati a specifiche finalità</w:t>
        </w:r>
        <w:r w:rsidR="00DB1B17">
          <w:rPr>
            <w:noProof/>
            <w:webHidden/>
          </w:rPr>
          <w:tab/>
        </w:r>
        <w:r w:rsidR="00DB1B17">
          <w:rPr>
            <w:noProof/>
            <w:webHidden/>
          </w:rPr>
          <w:fldChar w:fldCharType="begin"/>
        </w:r>
        <w:r w:rsidR="00DB1B17">
          <w:rPr>
            <w:noProof/>
            <w:webHidden/>
          </w:rPr>
          <w:instrText xml:space="preserve"> PAGEREF _Toc92569729 \h </w:instrText>
        </w:r>
        <w:r w:rsidR="00DB1B17">
          <w:rPr>
            <w:noProof/>
            <w:webHidden/>
          </w:rPr>
        </w:r>
        <w:r w:rsidR="00DB1B17">
          <w:rPr>
            <w:noProof/>
            <w:webHidden/>
          </w:rPr>
          <w:fldChar w:fldCharType="separate"/>
        </w:r>
        <w:r w:rsidR="00DB1B17">
          <w:rPr>
            <w:noProof/>
            <w:webHidden/>
          </w:rPr>
          <w:t>14</w:t>
        </w:r>
        <w:r w:rsidR="00DB1B17">
          <w:rPr>
            <w:noProof/>
            <w:webHidden/>
          </w:rPr>
          <w:fldChar w:fldCharType="end"/>
        </w:r>
      </w:hyperlink>
    </w:p>
    <w:p w14:paraId="2E0AA5B2" w14:textId="49D50399" w:rsidR="00DB1B17" w:rsidRDefault="003810C5">
      <w:pPr>
        <w:pStyle w:val="Sommario3"/>
        <w:tabs>
          <w:tab w:val="left" w:pos="1871"/>
        </w:tabs>
        <w:rPr>
          <w:rFonts w:asciiTheme="minorHAnsi" w:eastAsiaTheme="minorEastAsia" w:hAnsiTheme="minorHAnsi" w:cstheme="minorBidi"/>
          <w:noProof/>
          <w:sz w:val="22"/>
          <w:szCs w:val="22"/>
        </w:rPr>
      </w:pPr>
      <w:hyperlink w:anchor="_Toc92569730" w:history="1">
        <w:r w:rsidR="00DB1B17" w:rsidRPr="00CA079F">
          <w:rPr>
            <w:rStyle w:val="Collegamentoipertestuale"/>
            <w:rFonts w:eastAsia="Times"/>
            <w:noProof/>
          </w:rPr>
          <w:t>5.2.1</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 xml:space="preserve">Componente previsionale </w:t>
        </w:r>
        <w:r w:rsidR="00DB1B17" w:rsidRPr="00CA079F">
          <w:rPr>
            <w:rStyle w:val="Collegamentoipertestuale"/>
            <w:rFonts w:eastAsia="Times"/>
            <w:noProof/>
            <w:position w:val="2"/>
          </w:rPr>
          <w:t>CO</w:t>
        </w:r>
        <w:r w:rsidR="00DB1B17" w:rsidRPr="00CA079F">
          <w:rPr>
            <w:rStyle w:val="Collegamentoipertestuale"/>
            <w:rFonts w:eastAsia="Times"/>
            <w:noProof/>
          </w:rPr>
          <w:t>116</w:t>
        </w:r>
        <w:r w:rsidR="00DB1B17">
          <w:rPr>
            <w:noProof/>
            <w:webHidden/>
          </w:rPr>
          <w:tab/>
        </w:r>
        <w:r w:rsidR="00DB1B17">
          <w:rPr>
            <w:noProof/>
            <w:webHidden/>
          </w:rPr>
          <w:fldChar w:fldCharType="begin"/>
        </w:r>
        <w:r w:rsidR="00DB1B17">
          <w:rPr>
            <w:noProof/>
            <w:webHidden/>
          </w:rPr>
          <w:instrText xml:space="preserve"> PAGEREF _Toc92569730 \h </w:instrText>
        </w:r>
        <w:r w:rsidR="00DB1B17">
          <w:rPr>
            <w:noProof/>
            <w:webHidden/>
          </w:rPr>
        </w:r>
        <w:r w:rsidR="00DB1B17">
          <w:rPr>
            <w:noProof/>
            <w:webHidden/>
          </w:rPr>
          <w:fldChar w:fldCharType="separate"/>
        </w:r>
        <w:r w:rsidR="00DB1B17">
          <w:rPr>
            <w:noProof/>
            <w:webHidden/>
          </w:rPr>
          <w:t>14</w:t>
        </w:r>
        <w:r w:rsidR="00DB1B17">
          <w:rPr>
            <w:noProof/>
            <w:webHidden/>
          </w:rPr>
          <w:fldChar w:fldCharType="end"/>
        </w:r>
      </w:hyperlink>
    </w:p>
    <w:p w14:paraId="698368BD" w14:textId="528F4045" w:rsidR="00DB1B17" w:rsidRDefault="003810C5">
      <w:pPr>
        <w:pStyle w:val="Sommario3"/>
        <w:tabs>
          <w:tab w:val="left" w:pos="1871"/>
        </w:tabs>
        <w:rPr>
          <w:rFonts w:asciiTheme="minorHAnsi" w:eastAsiaTheme="minorEastAsia" w:hAnsiTheme="minorHAnsi" w:cstheme="minorBidi"/>
          <w:noProof/>
          <w:sz w:val="22"/>
          <w:szCs w:val="22"/>
        </w:rPr>
      </w:pPr>
      <w:hyperlink w:anchor="_Toc92569731" w:history="1">
        <w:r w:rsidR="00DB1B17" w:rsidRPr="00CA079F">
          <w:rPr>
            <w:rStyle w:val="Collegamentoipertestuale"/>
            <w:rFonts w:eastAsia="Times"/>
            <w:noProof/>
          </w:rPr>
          <w:t>5.2.2</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Componente previsionale CQ</w:t>
        </w:r>
        <w:r w:rsidR="00DB1B17">
          <w:rPr>
            <w:noProof/>
            <w:webHidden/>
          </w:rPr>
          <w:tab/>
        </w:r>
        <w:r w:rsidR="00DB1B17">
          <w:rPr>
            <w:noProof/>
            <w:webHidden/>
          </w:rPr>
          <w:fldChar w:fldCharType="begin"/>
        </w:r>
        <w:r w:rsidR="00DB1B17">
          <w:rPr>
            <w:noProof/>
            <w:webHidden/>
          </w:rPr>
          <w:instrText xml:space="preserve"> PAGEREF _Toc92569731 \h </w:instrText>
        </w:r>
        <w:r w:rsidR="00DB1B17">
          <w:rPr>
            <w:noProof/>
            <w:webHidden/>
          </w:rPr>
        </w:r>
        <w:r w:rsidR="00DB1B17">
          <w:rPr>
            <w:noProof/>
            <w:webHidden/>
          </w:rPr>
          <w:fldChar w:fldCharType="separate"/>
        </w:r>
        <w:r w:rsidR="00DB1B17">
          <w:rPr>
            <w:noProof/>
            <w:webHidden/>
          </w:rPr>
          <w:t>14</w:t>
        </w:r>
        <w:r w:rsidR="00DB1B17">
          <w:rPr>
            <w:noProof/>
            <w:webHidden/>
          </w:rPr>
          <w:fldChar w:fldCharType="end"/>
        </w:r>
      </w:hyperlink>
    </w:p>
    <w:p w14:paraId="71561B02" w14:textId="64DB6AA9" w:rsidR="00DB1B17" w:rsidRDefault="003810C5">
      <w:pPr>
        <w:pStyle w:val="Sommario3"/>
        <w:tabs>
          <w:tab w:val="left" w:pos="1871"/>
        </w:tabs>
        <w:rPr>
          <w:rFonts w:asciiTheme="minorHAnsi" w:eastAsiaTheme="minorEastAsia" w:hAnsiTheme="minorHAnsi" w:cstheme="minorBidi"/>
          <w:noProof/>
          <w:sz w:val="22"/>
          <w:szCs w:val="22"/>
        </w:rPr>
      </w:pPr>
      <w:hyperlink w:anchor="_Toc92569732" w:history="1">
        <w:r w:rsidR="00DB1B17" w:rsidRPr="00CA079F">
          <w:rPr>
            <w:rStyle w:val="Collegamentoipertestuale"/>
            <w:rFonts w:eastAsia="Times"/>
            <w:noProof/>
          </w:rPr>
          <w:t>5.2.3</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Componente previsionale COI</w:t>
        </w:r>
        <w:r w:rsidR="00DB1B17">
          <w:rPr>
            <w:noProof/>
            <w:webHidden/>
          </w:rPr>
          <w:tab/>
        </w:r>
        <w:r w:rsidR="00DB1B17">
          <w:rPr>
            <w:noProof/>
            <w:webHidden/>
          </w:rPr>
          <w:fldChar w:fldCharType="begin"/>
        </w:r>
        <w:r w:rsidR="00DB1B17">
          <w:rPr>
            <w:noProof/>
            <w:webHidden/>
          </w:rPr>
          <w:instrText xml:space="preserve"> PAGEREF _Toc92569732 \h </w:instrText>
        </w:r>
        <w:r w:rsidR="00DB1B17">
          <w:rPr>
            <w:noProof/>
            <w:webHidden/>
          </w:rPr>
        </w:r>
        <w:r w:rsidR="00DB1B17">
          <w:rPr>
            <w:noProof/>
            <w:webHidden/>
          </w:rPr>
          <w:fldChar w:fldCharType="separate"/>
        </w:r>
        <w:r w:rsidR="00DB1B17">
          <w:rPr>
            <w:noProof/>
            <w:webHidden/>
          </w:rPr>
          <w:t>15</w:t>
        </w:r>
        <w:r w:rsidR="00DB1B17">
          <w:rPr>
            <w:noProof/>
            <w:webHidden/>
          </w:rPr>
          <w:fldChar w:fldCharType="end"/>
        </w:r>
      </w:hyperlink>
    </w:p>
    <w:p w14:paraId="0F5721B4" w14:textId="60758B27" w:rsidR="00DB1B17" w:rsidRDefault="003810C5">
      <w:pPr>
        <w:pStyle w:val="Sommario2"/>
        <w:rPr>
          <w:rFonts w:asciiTheme="minorHAnsi" w:eastAsiaTheme="minorEastAsia" w:hAnsiTheme="minorHAnsi" w:cstheme="minorBidi"/>
          <w:noProof/>
          <w:sz w:val="22"/>
          <w:szCs w:val="22"/>
        </w:rPr>
      </w:pPr>
      <w:hyperlink w:anchor="_Toc92569733" w:history="1">
        <w:r w:rsidR="00DB1B17" w:rsidRPr="00CA079F">
          <w:rPr>
            <w:rStyle w:val="Collegamentoipertestuale"/>
            <w:rFonts w:eastAsia="Times"/>
            <w:noProof/>
          </w:rPr>
          <w:t>5.3</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Ammortamenti delle immobilizzazioni</w:t>
        </w:r>
        <w:r w:rsidR="00DB1B17">
          <w:rPr>
            <w:noProof/>
            <w:webHidden/>
          </w:rPr>
          <w:tab/>
        </w:r>
        <w:r w:rsidR="00DB1B17">
          <w:rPr>
            <w:noProof/>
            <w:webHidden/>
          </w:rPr>
          <w:fldChar w:fldCharType="begin"/>
        </w:r>
        <w:r w:rsidR="00DB1B17">
          <w:rPr>
            <w:noProof/>
            <w:webHidden/>
          </w:rPr>
          <w:instrText xml:space="preserve"> PAGEREF _Toc92569733 \h </w:instrText>
        </w:r>
        <w:r w:rsidR="00DB1B17">
          <w:rPr>
            <w:noProof/>
            <w:webHidden/>
          </w:rPr>
        </w:r>
        <w:r w:rsidR="00DB1B17">
          <w:rPr>
            <w:noProof/>
            <w:webHidden/>
          </w:rPr>
          <w:fldChar w:fldCharType="separate"/>
        </w:r>
        <w:r w:rsidR="00DB1B17">
          <w:rPr>
            <w:noProof/>
            <w:webHidden/>
          </w:rPr>
          <w:t>15</w:t>
        </w:r>
        <w:r w:rsidR="00DB1B17">
          <w:rPr>
            <w:noProof/>
            <w:webHidden/>
          </w:rPr>
          <w:fldChar w:fldCharType="end"/>
        </w:r>
      </w:hyperlink>
    </w:p>
    <w:p w14:paraId="1CB4A12D" w14:textId="3C5CCECF" w:rsidR="00DB1B17" w:rsidRDefault="003810C5">
      <w:pPr>
        <w:pStyle w:val="Sommario2"/>
        <w:rPr>
          <w:rFonts w:asciiTheme="minorHAnsi" w:eastAsiaTheme="minorEastAsia" w:hAnsiTheme="minorHAnsi" w:cstheme="minorBidi"/>
          <w:noProof/>
          <w:sz w:val="22"/>
          <w:szCs w:val="22"/>
        </w:rPr>
      </w:pPr>
      <w:hyperlink w:anchor="_Toc92569734" w:history="1">
        <w:r w:rsidR="00DB1B17" w:rsidRPr="00CA079F">
          <w:rPr>
            <w:rStyle w:val="Collegamentoipertestuale"/>
            <w:rFonts w:eastAsia="Times"/>
            <w:noProof/>
          </w:rPr>
          <w:t>5.4</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 xml:space="preserve">Valorizzazione dei fattori di </w:t>
        </w:r>
        <w:r w:rsidR="00DB1B17" w:rsidRPr="00CA079F">
          <w:rPr>
            <w:rStyle w:val="Collegamentoipertestuale"/>
            <w:rFonts w:eastAsia="Times"/>
            <w:i/>
            <w:noProof/>
          </w:rPr>
          <w:t>sharing</w:t>
        </w:r>
        <w:r w:rsidR="00DB1B17">
          <w:rPr>
            <w:noProof/>
            <w:webHidden/>
          </w:rPr>
          <w:tab/>
        </w:r>
        <w:r w:rsidR="00DB1B17">
          <w:rPr>
            <w:noProof/>
            <w:webHidden/>
          </w:rPr>
          <w:fldChar w:fldCharType="begin"/>
        </w:r>
        <w:r w:rsidR="00DB1B17">
          <w:rPr>
            <w:noProof/>
            <w:webHidden/>
          </w:rPr>
          <w:instrText xml:space="preserve"> PAGEREF _Toc92569734 \h </w:instrText>
        </w:r>
        <w:r w:rsidR="00DB1B17">
          <w:rPr>
            <w:noProof/>
            <w:webHidden/>
          </w:rPr>
        </w:r>
        <w:r w:rsidR="00DB1B17">
          <w:rPr>
            <w:noProof/>
            <w:webHidden/>
          </w:rPr>
          <w:fldChar w:fldCharType="separate"/>
        </w:r>
        <w:r w:rsidR="00DB1B17">
          <w:rPr>
            <w:noProof/>
            <w:webHidden/>
          </w:rPr>
          <w:t>15</w:t>
        </w:r>
        <w:r w:rsidR="00DB1B17">
          <w:rPr>
            <w:noProof/>
            <w:webHidden/>
          </w:rPr>
          <w:fldChar w:fldCharType="end"/>
        </w:r>
      </w:hyperlink>
    </w:p>
    <w:p w14:paraId="58980A52" w14:textId="05AB0176" w:rsidR="00DB1B17" w:rsidRDefault="003810C5">
      <w:pPr>
        <w:pStyle w:val="Sommario3"/>
        <w:tabs>
          <w:tab w:val="left" w:pos="1871"/>
        </w:tabs>
        <w:rPr>
          <w:rFonts w:asciiTheme="minorHAnsi" w:eastAsiaTheme="minorEastAsia" w:hAnsiTheme="minorHAnsi" w:cstheme="minorBidi"/>
          <w:noProof/>
          <w:sz w:val="22"/>
          <w:szCs w:val="22"/>
        </w:rPr>
      </w:pPr>
      <w:hyperlink w:anchor="_Toc92569735" w:history="1">
        <w:r w:rsidR="00DB1B17" w:rsidRPr="00CA079F">
          <w:rPr>
            <w:rStyle w:val="Collegamentoipertestuale"/>
            <w:rFonts w:eastAsia="Times"/>
            <w:noProof/>
          </w:rPr>
          <w:t>5.4.1</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Determinazione del fattore b</w:t>
        </w:r>
        <w:r w:rsidR="00DB1B17">
          <w:rPr>
            <w:noProof/>
            <w:webHidden/>
          </w:rPr>
          <w:tab/>
        </w:r>
        <w:r w:rsidR="00DB1B17">
          <w:rPr>
            <w:noProof/>
            <w:webHidden/>
          </w:rPr>
          <w:fldChar w:fldCharType="begin"/>
        </w:r>
        <w:r w:rsidR="00DB1B17">
          <w:rPr>
            <w:noProof/>
            <w:webHidden/>
          </w:rPr>
          <w:instrText xml:space="preserve"> PAGEREF _Toc92569735 \h </w:instrText>
        </w:r>
        <w:r w:rsidR="00DB1B17">
          <w:rPr>
            <w:noProof/>
            <w:webHidden/>
          </w:rPr>
        </w:r>
        <w:r w:rsidR="00DB1B17">
          <w:rPr>
            <w:noProof/>
            <w:webHidden/>
          </w:rPr>
          <w:fldChar w:fldCharType="separate"/>
        </w:r>
        <w:r w:rsidR="00DB1B17">
          <w:rPr>
            <w:noProof/>
            <w:webHidden/>
          </w:rPr>
          <w:t>15</w:t>
        </w:r>
        <w:r w:rsidR="00DB1B17">
          <w:rPr>
            <w:noProof/>
            <w:webHidden/>
          </w:rPr>
          <w:fldChar w:fldCharType="end"/>
        </w:r>
      </w:hyperlink>
    </w:p>
    <w:p w14:paraId="5BD0D6DC" w14:textId="63D36EEB" w:rsidR="00DB1B17" w:rsidRDefault="003810C5">
      <w:pPr>
        <w:pStyle w:val="Sommario3"/>
        <w:tabs>
          <w:tab w:val="left" w:pos="1871"/>
        </w:tabs>
        <w:rPr>
          <w:rFonts w:asciiTheme="minorHAnsi" w:eastAsiaTheme="minorEastAsia" w:hAnsiTheme="minorHAnsi" w:cstheme="minorBidi"/>
          <w:noProof/>
          <w:sz w:val="22"/>
          <w:szCs w:val="22"/>
        </w:rPr>
      </w:pPr>
      <w:hyperlink w:anchor="_Toc92569736" w:history="1">
        <w:r w:rsidR="00DB1B17" w:rsidRPr="00CA079F">
          <w:rPr>
            <w:rStyle w:val="Collegamentoipertestuale"/>
            <w:rFonts w:eastAsia="Times"/>
            <w:noProof/>
          </w:rPr>
          <w:t>5.4.2</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Determinazione del fattore ω</w:t>
        </w:r>
        <w:r w:rsidR="00DB1B17">
          <w:rPr>
            <w:noProof/>
            <w:webHidden/>
          </w:rPr>
          <w:tab/>
        </w:r>
        <w:r w:rsidR="00DB1B17">
          <w:rPr>
            <w:noProof/>
            <w:webHidden/>
          </w:rPr>
          <w:fldChar w:fldCharType="begin"/>
        </w:r>
        <w:r w:rsidR="00DB1B17">
          <w:rPr>
            <w:noProof/>
            <w:webHidden/>
          </w:rPr>
          <w:instrText xml:space="preserve"> PAGEREF _Toc92569736 \h </w:instrText>
        </w:r>
        <w:r w:rsidR="00DB1B17">
          <w:rPr>
            <w:noProof/>
            <w:webHidden/>
          </w:rPr>
        </w:r>
        <w:r w:rsidR="00DB1B17">
          <w:rPr>
            <w:noProof/>
            <w:webHidden/>
          </w:rPr>
          <w:fldChar w:fldCharType="separate"/>
        </w:r>
        <w:r w:rsidR="00DB1B17">
          <w:rPr>
            <w:noProof/>
            <w:webHidden/>
          </w:rPr>
          <w:t>15</w:t>
        </w:r>
        <w:r w:rsidR="00DB1B17">
          <w:rPr>
            <w:noProof/>
            <w:webHidden/>
          </w:rPr>
          <w:fldChar w:fldCharType="end"/>
        </w:r>
      </w:hyperlink>
    </w:p>
    <w:p w14:paraId="75CFA56A" w14:textId="62D49F40" w:rsidR="00DB1B17" w:rsidRDefault="003810C5">
      <w:pPr>
        <w:pStyle w:val="Sommario2"/>
        <w:rPr>
          <w:rFonts w:asciiTheme="minorHAnsi" w:eastAsiaTheme="minorEastAsia" w:hAnsiTheme="minorHAnsi" w:cstheme="minorBidi"/>
          <w:noProof/>
          <w:sz w:val="22"/>
          <w:szCs w:val="22"/>
        </w:rPr>
      </w:pPr>
      <w:hyperlink w:anchor="_Toc92569737" w:history="1">
        <w:r w:rsidR="00DB1B17" w:rsidRPr="00CA079F">
          <w:rPr>
            <w:rStyle w:val="Collegamentoipertestuale"/>
            <w:rFonts w:eastAsia="Times"/>
            <w:noProof/>
          </w:rPr>
          <w:t>5.5</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Conguagli</w:t>
        </w:r>
        <w:r w:rsidR="00DB1B17">
          <w:rPr>
            <w:noProof/>
            <w:webHidden/>
          </w:rPr>
          <w:tab/>
        </w:r>
        <w:r w:rsidR="00DB1B17">
          <w:rPr>
            <w:noProof/>
            <w:webHidden/>
          </w:rPr>
          <w:fldChar w:fldCharType="begin"/>
        </w:r>
        <w:r w:rsidR="00DB1B17">
          <w:rPr>
            <w:noProof/>
            <w:webHidden/>
          </w:rPr>
          <w:instrText xml:space="preserve"> PAGEREF _Toc92569737 \h </w:instrText>
        </w:r>
        <w:r w:rsidR="00DB1B17">
          <w:rPr>
            <w:noProof/>
            <w:webHidden/>
          </w:rPr>
        </w:r>
        <w:r w:rsidR="00DB1B17">
          <w:rPr>
            <w:noProof/>
            <w:webHidden/>
          </w:rPr>
          <w:fldChar w:fldCharType="separate"/>
        </w:r>
        <w:r w:rsidR="00DB1B17">
          <w:rPr>
            <w:noProof/>
            <w:webHidden/>
          </w:rPr>
          <w:t>15</w:t>
        </w:r>
        <w:r w:rsidR="00DB1B17">
          <w:rPr>
            <w:noProof/>
            <w:webHidden/>
          </w:rPr>
          <w:fldChar w:fldCharType="end"/>
        </w:r>
      </w:hyperlink>
    </w:p>
    <w:p w14:paraId="3A09B823" w14:textId="35704BD1" w:rsidR="00DB1B17" w:rsidRDefault="003810C5">
      <w:pPr>
        <w:pStyle w:val="Sommario2"/>
        <w:rPr>
          <w:rFonts w:asciiTheme="minorHAnsi" w:eastAsiaTheme="minorEastAsia" w:hAnsiTheme="minorHAnsi" w:cstheme="minorBidi"/>
          <w:noProof/>
          <w:sz w:val="22"/>
          <w:szCs w:val="22"/>
        </w:rPr>
      </w:pPr>
      <w:hyperlink w:anchor="_Toc92569738" w:history="1">
        <w:r w:rsidR="00DB1B17" w:rsidRPr="00CA079F">
          <w:rPr>
            <w:rStyle w:val="Collegamentoipertestuale"/>
            <w:rFonts w:eastAsia="Times"/>
            <w:noProof/>
          </w:rPr>
          <w:t>5.6</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Valutazioni in ordine all’equilibrio economico finanziario</w:t>
        </w:r>
        <w:r w:rsidR="00DB1B17">
          <w:rPr>
            <w:noProof/>
            <w:webHidden/>
          </w:rPr>
          <w:tab/>
        </w:r>
        <w:r w:rsidR="00DB1B17">
          <w:rPr>
            <w:noProof/>
            <w:webHidden/>
          </w:rPr>
          <w:fldChar w:fldCharType="begin"/>
        </w:r>
        <w:r w:rsidR="00DB1B17">
          <w:rPr>
            <w:noProof/>
            <w:webHidden/>
          </w:rPr>
          <w:instrText xml:space="preserve"> PAGEREF _Toc92569738 \h </w:instrText>
        </w:r>
        <w:r w:rsidR="00DB1B17">
          <w:rPr>
            <w:noProof/>
            <w:webHidden/>
          </w:rPr>
        </w:r>
        <w:r w:rsidR="00DB1B17">
          <w:rPr>
            <w:noProof/>
            <w:webHidden/>
          </w:rPr>
          <w:fldChar w:fldCharType="separate"/>
        </w:r>
        <w:r w:rsidR="00DB1B17">
          <w:rPr>
            <w:noProof/>
            <w:webHidden/>
          </w:rPr>
          <w:t>16</w:t>
        </w:r>
        <w:r w:rsidR="00DB1B17">
          <w:rPr>
            <w:noProof/>
            <w:webHidden/>
          </w:rPr>
          <w:fldChar w:fldCharType="end"/>
        </w:r>
      </w:hyperlink>
    </w:p>
    <w:p w14:paraId="21E9EE75" w14:textId="3253BCED" w:rsidR="00DB1B17" w:rsidRDefault="003810C5">
      <w:pPr>
        <w:pStyle w:val="Sommario2"/>
        <w:rPr>
          <w:rFonts w:asciiTheme="minorHAnsi" w:eastAsiaTheme="minorEastAsia" w:hAnsiTheme="minorHAnsi" w:cstheme="minorBidi"/>
          <w:noProof/>
          <w:sz w:val="22"/>
          <w:szCs w:val="22"/>
        </w:rPr>
      </w:pPr>
      <w:hyperlink w:anchor="_Toc92569739" w:history="1">
        <w:r w:rsidR="00DB1B17" w:rsidRPr="00CA079F">
          <w:rPr>
            <w:rStyle w:val="Collegamentoipertestuale"/>
            <w:rFonts w:eastAsia="Times"/>
            <w:noProof/>
          </w:rPr>
          <w:t>5.7</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Rinuncia al riconoscimento di alcune componenti di costo</w:t>
        </w:r>
        <w:r w:rsidR="00DB1B17">
          <w:rPr>
            <w:noProof/>
            <w:webHidden/>
          </w:rPr>
          <w:tab/>
        </w:r>
        <w:r w:rsidR="00DB1B17">
          <w:rPr>
            <w:noProof/>
            <w:webHidden/>
          </w:rPr>
          <w:fldChar w:fldCharType="begin"/>
        </w:r>
        <w:r w:rsidR="00DB1B17">
          <w:rPr>
            <w:noProof/>
            <w:webHidden/>
          </w:rPr>
          <w:instrText xml:space="preserve"> PAGEREF _Toc92569739 \h </w:instrText>
        </w:r>
        <w:r w:rsidR="00DB1B17">
          <w:rPr>
            <w:noProof/>
            <w:webHidden/>
          </w:rPr>
        </w:r>
        <w:r w:rsidR="00DB1B17">
          <w:rPr>
            <w:noProof/>
            <w:webHidden/>
          </w:rPr>
          <w:fldChar w:fldCharType="separate"/>
        </w:r>
        <w:r w:rsidR="00DB1B17">
          <w:rPr>
            <w:noProof/>
            <w:webHidden/>
          </w:rPr>
          <w:t>17</w:t>
        </w:r>
        <w:r w:rsidR="00DB1B17">
          <w:rPr>
            <w:noProof/>
            <w:webHidden/>
          </w:rPr>
          <w:fldChar w:fldCharType="end"/>
        </w:r>
      </w:hyperlink>
    </w:p>
    <w:p w14:paraId="266DCCE1" w14:textId="0361E76F" w:rsidR="00DB1B17" w:rsidRDefault="003810C5">
      <w:pPr>
        <w:pStyle w:val="Sommario2"/>
        <w:rPr>
          <w:rFonts w:asciiTheme="minorHAnsi" w:eastAsiaTheme="minorEastAsia" w:hAnsiTheme="minorHAnsi" w:cstheme="minorBidi"/>
          <w:noProof/>
          <w:sz w:val="22"/>
          <w:szCs w:val="22"/>
        </w:rPr>
      </w:pPr>
      <w:hyperlink w:anchor="_Toc92569740" w:history="1">
        <w:r w:rsidR="00DB1B17" w:rsidRPr="00CA079F">
          <w:rPr>
            <w:rStyle w:val="Collegamentoipertestuale"/>
            <w:rFonts w:eastAsia="Times"/>
            <w:noProof/>
          </w:rPr>
          <w:t>5.8</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Rimodulazione dei conguagli</w:t>
        </w:r>
        <w:r w:rsidR="00DB1B17">
          <w:rPr>
            <w:noProof/>
            <w:webHidden/>
          </w:rPr>
          <w:tab/>
        </w:r>
        <w:r w:rsidR="00DB1B17">
          <w:rPr>
            <w:noProof/>
            <w:webHidden/>
          </w:rPr>
          <w:fldChar w:fldCharType="begin"/>
        </w:r>
        <w:r w:rsidR="00DB1B17">
          <w:rPr>
            <w:noProof/>
            <w:webHidden/>
          </w:rPr>
          <w:instrText xml:space="preserve"> PAGEREF _Toc92569740 \h </w:instrText>
        </w:r>
        <w:r w:rsidR="00DB1B17">
          <w:rPr>
            <w:noProof/>
            <w:webHidden/>
          </w:rPr>
        </w:r>
        <w:r w:rsidR="00DB1B17">
          <w:rPr>
            <w:noProof/>
            <w:webHidden/>
          </w:rPr>
          <w:fldChar w:fldCharType="separate"/>
        </w:r>
        <w:r w:rsidR="00DB1B17">
          <w:rPr>
            <w:noProof/>
            <w:webHidden/>
          </w:rPr>
          <w:t>18</w:t>
        </w:r>
        <w:r w:rsidR="00DB1B17">
          <w:rPr>
            <w:noProof/>
            <w:webHidden/>
          </w:rPr>
          <w:fldChar w:fldCharType="end"/>
        </w:r>
      </w:hyperlink>
    </w:p>
    <w:p w14:paraId="5D59AD6D" w14:textId="55ED25FA" w:rsidR="00DB1B17" w:rsidRDefault="003810C5">
      <w:pPr>
        <w:pStyle w:val="Sommario2"/>
        <w:rPr>
          <w:rFonts w:asciiTheme="minorHAnsi" w:eastAsiaTheme="minorEastAsia" w:hAnsiTheme="minorHAnsi" w:cstheme="minorBidi"/>
          <w:noProof/>
          <w:sz w:val="22"/>
          <w:szCs w:val="22"/>
        </w:rPr>
      </w:pPr>
      <w:hyperlink w:anchor="_Toc92569741" w:history="1">
        <w:r w:rsidR="00DB1B17" w:rsidRPr="00CA079F">
          <w:rPr>
            <w:rStyle w:val="Collegamentoipertestuale"/>
            <w:rFonts w:eastAsia="Times"/>
            <w:noProof/>
          </w:rPr>
          <w:t>5.9</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Rimodulazione del valore delle entrate tariffarie che eccede il limite alla variazione annuale</w:t>
        </w:r>
        <w:r w:rsidR="00DB1B17">
          <w:rPr>
            <w:noProof/>
            <w:webHidden/>
          </w:rPr>
          <w:tab/>
        </w:r>
        <w:r w:rsidR="00DB1B17">
          <w:rPr>
            <w:noProof/>
            <w:webHidden/>
          </w:rPr>
          <w:fldChar w:fldCharType="begin"/>
        </w:r>
        <w:r w:rsidR="00DB1B17">
          <w:rPr>
            <w:noProof/>
            <w:webHidden/>
          </w:rPr>
          <w:instrText xml:space="preserve"> PAGEREF _Toc92569741 \h </w:instrText>
        </w:r>
        <w:r w:rsidR="00DB1B17">
          <w:rPr>
            <w:noProof/>
            <w:webHidden/>
          </w:rPr>
        </w:r>
        <w:r w:rsidR="00DB1B17">
          <w:rPr>
            <w:noProof/>
            <w:webHidden/>
          </w:rPr>
          <w:fldChar w:fldCharType="separate"/>
        </w:r>
        <w:r w:rsidR="00DB1B17">
          <w:rPr>
            <w:noProof/>
            <w:webHidden/>
          </w:rPr>
          <w:t>18</w:t>
        </w:r>
        <w:r w:rsidR="00DB1B17">
          <w:rPr>
            <w:noProof/>
            <w:webHidden/>
          </w:rPr>
          <w:fldChar w:fldCharType="end"/>
        </w:r>
      </w:hyperlink>
    </w:p>
    <w:p w14:paraId="545F18B2" w14:textId="6FBE3093" w:rsidR="00DB1B17" w:rsidRDefault="003810C5">
      <w:pPr>
        <w:pStyle w:val="Sommario2"/>
        <w:rPr>
          <w:rFonts w:asciiTheme="minorHAnsi" w:eastAsiaTheme="minorEastAsia" w:hAnsiTheme="minorHAnsi" w:cstheme="minorBidi"/>
          <w:noProof/>
          <w:sz w:val="22"/>
          <w:szCs w:val="22"/>
        </w:rPr>
      </w:pPr>
      <w:hyperlink w:anchor="_Toc92569742" w:history="1">
        <w:r w:rsidR="00DB1B17" w:rsidRPr="00CA079F">
          <w:rPr>
            <w:rStyle w:val="Collegamentoipertestuale"/>
            <w:rFonts w:eastAsia="Times"/>
            <w:noProof/>
          </w:rPr>
          <w:t>5.10</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Eventuale superamento del limite alla crescita annuale delle entrate tariffarie</w:t>
        </w:r>
        <w:r w:rsidR="00DB1B17">
          <w:rPr>
            <w:noProof/>
            <w:webHidden/>
          </w:rPr>
          <w:tab/>
        </w:r>
        <w:r w:rsidR="00DB1B17">
          <w:rPr>
            <w:noProof/>
            <w:webHidden/>
          </w:rPr>
          <w:fldChar w:fldCharType="begin"/>
        </w:r>
        <w:r w:rsidR="00DB1B17">
          <w:rPr>
            <w:noProof/>
            <w:webHidden/>
          </w:rPr>
          <w:instrText xml:space="preserve"> PAGEREF _Toc92569742 \h </w:instrText>
        </w:r>
        <w:r w:rsidR="00DB1B17">
          <w:rPr>
            <w:noProof/>
            <w:webHidden/>
          </w:rPr>
        </w:r>
        <w:r w:rsidR="00DB1B17">
          <w:rPr>
            <w:noProof/>
            <w:webHidden/>
          </w:rPr>
          <w:fldChar w:fldCharType="separate"/>
        </w:r>
        <w:r w:rsidR="00DB1B17">
          <w:rPr>
            <w:noProof/>
            <w:webHidden/>
          </w:rPr>
          <w:t>18</w:t>
        </w:r>
        <w:r w:rsidR="00DB1B17">
          <w:rPr>
            <w:noProof/>
            <w:webHidden/>
          </w:rPr>
          <w:fldChar w:fldCharType="end"/>
        </w:r>
      </w:hyperlink>
    </w:p>
    <w:p w14:paraId="5F43464B" w14:textId="1DD81ACD" w:rsidR="00DB1B17" w:rsidRDefault="003810C5">
      <w:pPr>
        <w:pStyle w:val="Sommario2"/>
        <w:rPr>
          <w:rFonts w:asciiTheme="minorHAnsi" w:eastAsiaTheme="minorEastAsia" w:hAnsiTheme="minorHAnsi" w:cstheme="minorBidi"/>
          <w:noProof/>
          <w:sz w:val="22"/>
          <w:szCs w:val="22"/>
        </w:rPr>
      </w:pPr>
      <w:hyperlink w:anchor="_Toc92569743" w:history="1">
        <w:r w:rsidR="00DB1B17" w:rsidRPr="00CA079F">
          <w:rPr>
            <w:rStyle w:val="Collegamentoipertestuale"/>
            <w:rFonts w:eastAsia="Times"/>
            <w:noProof/>
          </w:rPr>
          <w:t>5.12</w:t>
        </w:r>
        <w:r w:rsidR="00DB1B17">
          <w:rPr>
            <w:rFonts w:asciiTheme="minorHAnsi" w:eastAsiaTheme="minorEastAsia" w:hAnsiTheme="minorHAnsi" w:cstheme="minorBidi"/>
            <w:noProof/>
            <w:sz w:val="22"/>
            <w:szCs w:val="22"/>
          </w:rPr>
          <w:tab/>
        </w:r>
        <w:r w:rsidR="00DB1B17" w:rsidRPr="00CA079F">
          <w:rPr>
            <w:rStyle w:val="Collegamentoipertestuale"/>
            <w:rFonts w:eastAsia="Times"/>
            <w:noProof/>
          </w:rPr>
          <w:t>Ulteriori detrazioni</w:t>
        </w:r>
        <w:r w:rsidR="00DB1B17">
          <w:rPr>
            <w:noProof/>
            <w:webHidden/>
          </w:rPr>
          <w:tab/>
        </w:r>
        <w:r w:rsidR="00DB1B17">
          <w:rPr>
            <w:noProof/>
            <w:webHidden/>
          </w:rPr>
          <w:fldChar w:fldCharType="begin"/>
        </w:r>
        <w:r w:rsidR="00DB1B17">
          <w:rPr>
            <w:noProof/>
            <w:webHidden/>
          </w:rPr>
          <w:instrText xml:space="preserve"> PAGEREF _Toc92569743 \h </w:instrText>
        </w:r>
        <w:r w:rsidR="00DB1B17">
          <w:rPr>
            <w:noProof/>
            <w:webHidden/>
          </w:rPr>
        </w:r>
        <w:r w:rsidR="00DB1B17">
          <w:rPr>
            <w:noProof/>
            <w:webHidden/>
          </w:rPr>
          <w:fldChar w:fldCharType="separate"/>
        </w:r>
        <w:r w:rsidR="00DB1B17">
          <w:rPr>
            <w:noProof/>
            <w:webHidden/>
          </w:rPr>
          <w:t>19</w:t>
        </w:r>
        <w:r w:rsidR="00DB1B17">
          <w:rPr>
            <w:noProof/>
            <w:webHidden/>
          </w:rPr>
          <w:fldChar w:fldCharType="end"/>
        </w:r>
      </w:hyperlink>
    </w:p>
    <w:p w14:paraId="727C8814" w14:textId="32EC9F16" w:rsidR="005316ED" w:rsidRDefault="005316ED" w:rsidP="00393406">
      <w:r>
        <w:fldChar w:fldCharType="end"/>
      </w:r>
    </w:p>
    <w:p w14:paraId="2E7D684B" w14:textId="77777777" w:rsidR="005316ED" w:rsidRDefault="00FD5532" w:rsidP="000933E8">
      <w:pPr>
        <w:pStyle w:val="Titolo1"/>
        <w:ind w:left="431" w:hanging="431"/>
      </w:pPr>
      <w:bookmarkStart w:id="0" w:name="_Toc92569704"/>
      <w:r w:rsidRPr="00FD5532">
        <w:lastRenderedPageBreak/>
        <w:t>Premessa</w:t>
      </w:r>
      <w:bookmarkEnd w:id="0"/>
    </w:p>
    <w:p w14:paraId="1C16D6FF" w14:textId="77777777" w:rsidR="00615F4C" w:rsidRDefault="00615F4C" w:rsidP="00615F4C">
      <w:r>
        <w:t xml:space="preserve">La presente relazione si compone di cinque capitoli, alcuni da redigersi a cura dell’Ente territorialmente competente </w:t>
      </w:r>
      <w:r w:rsidR="000A22FA">
        <w:t xml:space="preserve">(il comune di Brescia) </w:t>
      </w:r>
      <w:r>
        <w:t>ovvero del soggetto delegato allo svolgimento dell’attività di validazione (capitoli 1,</w:t>
      </w:r>
      <w:r w:rsidR="00B060DE">
        <w:t xml:space="preserve"> </w:t>
      </w:r>
      <w:r>
        <w:t>4 e 5), altri a cura del gestore</w:t>
      </w:r>
      <w:r w:rsidR="000A22FA">
        <w:t xml:space="preserve"> Aprica S.p.A. – gruppo A2A</w:t>
      </w:r>
      <w:r>
        <w:t xml:space="preserve"> (capitoli 2 e 3).</w:t>
      </w:r>
    </w:p>
    <w:p w14:paraId="3342AEA2" w14:textId="77777777" w:rsidR="00615F4C" w:rsidRDefault="00615F4C" w:rsidP="00615F4C">
      <w:r>
        <w:t xml:space="preserve">Le informazioni, i dati e le valutazioni </w:t>
      </w:r>
      <w:r w:rsidR="000A22FA">
        <w:t>inserite</w:t>
      </w:r>
      <w:r>
        <w:t xml:space="preserve"> nei vari capitoli copr</w:t>
      </w:r>
      <w:r w:rsidR="000A22FA">
        <w:t>ono</w:t>
      </w:r>
      <w:r>
        <w:t xml:space="preserve"> l’intero orizzonte temporale del secondo periodo regolatorio (anni 2022-2025).</w:t>
      </w:r>
    </w:p>
    <w:p w14:paraId="203246F5" w14:textId="67301F82" w:rsidR="00615F4C" w:rsidRDefault="000A22FA" w:rsidP="00615F4C">
      <w:r>
        <w:t xml:space="preserve">Il </w:t>
      </w:r>
      <w:r w:rsidR="007D25B6">
        <w:t>C</w:t>
      </w:r>
      <w:r>
        <w:t>omune di Brescia</w:t>
      </w:r>
      <w:r w:rsidR="00615F4C">
        <w:t xml:space="preserve"> </w:t>
      </w:r>
      <w:r>
        <w:t>è</w:t>
      </w:r>
      <w:r w:rsidR="00615F4C">
        <w:t xml:space="preserve"> il soggetto responsabile dell’elaborazione finale della presente relazione e della sua trasmissione all’Autorità unitamente agli altri atti – PEF, dichiarazioni di veridicità, delibere di approvazione del PEF e delle tariffe all’utenza – che complessivamente costituiscono la predisposizione tariffaria da sottoporre all’approvazione di competenza dell’Autorità.</w:t>
      </w:r>
    </w:p>
    <w:p w14:paraId="43D8F122" w14:textId="77777777" w:rsidR="00D04EFE" w:rsidRDefault="00615F4C" w:rsidP="00615F4C">
      <w:r>
        <w:t>Il termine per tale trasmissione è fissato in 30 giorni decorrenti dall’adozione delle pertinenti determinazioni ovvero dal termine stabilito dalla normativa statale di riferimento per l’approvazione della TARI riferita all’anno 2022.</w:t>
      </w:r>
    </w:p>
    <w:p w14:paraId="74A76DCE" w14:textId="77777777" w:rsidR="000A22FA" w:rsidRPr="00773DFA" w:rsidRDefault="000A22FA" w:rsidP="00615F4C"/>
    <w:p w14:paraId="562C6A7A" w14:textId="77777777" w:rsidR="00D9344D" w:rsidRPr="00773DFA" w:rsidRDefault="00246E2F" w:rsidP="00D9344D">
      <w:pPr>
        <w:pStyle w:val="Titolo2"/>
      </w:pPr>
      <w:bookmarkStart w:id="1" w:name="_Toc92569705"/>
      <w:r w:rsidRPr="00246E2F">
        <w:t>Comune ricompreso nell’ambito tariffario</w:t>
      </w:r>
      <w:bookmarkEnd w:id="1"/>
    </w:p>
    <w:p w14:paraId="00FDA0DE" w14:textId="744D59D6" w:rsidR="00D9344D" w:rsidRDefault="000A22FA" w:rsidP="00D9344D">
      <w:r>
        <w:t xml:space="preserve">L’ambito tariffario considerato coincide con il </w:t>
      </w:r>
      <w:r w:rsidR="007D25B6">
        <w:t>C</w:t>
      </w:r>
      <w:r>
        <w:t>omune di Brescia.</w:t>
      </w:r>
    </w:p>
    <w:p w14:paraId="1D111042" w14:textId="77777777" w:rsidR="00D9344D" w:rsidRPr="00773DFA" w:rsidRDefault="00D9344D" w:rsidP="00D9344D"/>
    <w:p w14:paraId="32A982E1" w14:textId="77777777" w:rsidR="00D9344D" w:rsidRPr="00773DFA" w:rsidRDefault="00BC497D" w:rsidP="00D11FF8">
      <w:pPr>
        <w:pStyle w:val="Titolo2"/>
      </w:pPr>
      <w:bookmarkStart w:id="2" w:name="_Toc92569706"/>
      <w:r w:rsidRPr="00BC497D">
        <w:t>Soggetti gestori per ciascun ambito tariffario</w:t>
      </w:r>
      <w:bookmarkEnd w:id="2"/>
    </w:p>
    <w:p w14:paraId="2C0EBAFB" w14:textId="77777777" w:rsidR="000A22FA" w:rsidRDefault="000A22FA" w:rsidP="000A22FA">
      <w:r>
        <w:t>In conformità alle definizioni contenute nell’articolo 1 dell’Allegato A alla deliberazione 363/2021/R/RIF (MTR-2), i gestori dei singoli servizi che compongono il servizio integrato di gestione dei rifiuti urbani sono:</w:t>
      </w:r>
    </w:p>
    <w:p w14:paraId="4C280B15" w14:textId="77777777" w:rsidR="008F31FE" w:rsidRPr="00D63F9B" w:rsidRDefault="008F31FE" w:rsidP="007D25B6">
      <w:pPr>
        <w:pStyle w:val="Paragrafoelenco"/>
        <w:numPr>
          <w:ilvl w:val="0"/>
          <w:numId w:val="9"/>
        </w:numPr>
        <w:ind w:left="426"/>
        <w:jc w:val="both"/>
        <w:rPr>
          <w:sz w:val="24"/>
          <w:szCs w:val="24"/>
          <w:lang w:eastAsia="en-GB"/>
        </w:rPr>
      </w:pPr>
      <w:r w:rsidRPr="00D63F9B">
        <w:rPr>
          <w:sz w:val="24"/>
          <w:szCs w:val="24"/>
          <w:lang w:eastAsia="en-GB"/>
        </w:rPr>
        <w:t>Spazzamento e lavaggio strade</w:t>
      </w:r>
      <w:r>
        <w:rPr>
          <w:sz w:val="24"/>
          <w:szCs w:val="24"/>
          <w:lang w:eastAsia="en-GB"/>
        </w:rPr>
        <w:t>: Aprica S.p.A. – gruppo A2A</w:t>
      </w:r>
    </w:p>
    <w:p w14:paraId="373E094C" w14:textId="77777777" w:rsidR="008F31FE" w:rsidRPr="00D63F9B" w:rsidRDefault="008F31FE" w:rsidP="007D25B6">
      <w:pPr>
        <w:pStyle w:val="Paragrafoelenco"/>
        <w:numPr>
          <w:ilvl w:val="0"/>
          <w:numId w:val="9"/>
        </w:numPr>
        <w:ind w:left="426"/>
        <w:jc w:val="both"/>
        <w:rPr>
          <w:sz w:val="24"/>
          <w:szCs w:val="24"/>
          <w:lang w:eastAsia="en-GB"/>
        </w:rPr>
      </w:pPr>
      <w:r w:rsidRPr="00D63F9B">
        <w:rPr>
          <w:sz w:val="24"/>
          <w:szCs w:val="24"/>
          <w:lang w:eastAsia="en-GB"/>
        </w:rPr>
        <w:t>Raccolta e trasporto</w:t>
      </w:r>
      <w:r>
        <w:rPr>
          <w:sz w:val="24"/>
          <w:szCs w:val="24"/>
          <w:lang w:eastAsia="en-GB"/>
        </w:rPr>
        <w:t>: Aprica S.p.A. – gruppo A2A</w:t>
      </w:r>
    </w:p>
    <w:p w14:paraId="61F7708A" w14:textId="77777777" w:rsidR="008F31FE" w:rsidRPr="00D63F9B" w:rsidRDefault="008F31FE" w:rsidP="007D25B6">
      <w:pPr>
        <w:pStyle w:val="Paragrafoelenco"/>
        <w:numPr>
          <w:ilvl w:val="0"/>
          <w:numId w:val="9"/>
        </w:numPr>
        <w:ind w:left="426"/>
        <w:jc w:val="both"/>
        <w:rPr>
          <w:sz w:val="24"/>
          <w:szCs w:val="24"/>
          <w:lang w:eastAsia="en-GB"/>
        </w:rPr>
      </w:pPr>
      <w:r w:rsidRPr="00D63F9B">
        <w:rPr>
          <w:sz w:val="24"/>
          <w:szCs w:val="24"/>
          <w:lang w:eastAsia="en-GB"/>
        </w:rPr>
        <w:t>Trattamento e recupero</w:t>
      </w:r>
      <w:r>
        <w:rPr>
          <w:sz w:val="24"/>
          <w:szCs w:val="24"/>
          <w:lang w:eastAsia="en-GB"/>
        </w:rPr>
        <w:t>/smaltimento: Aprica S.p.A. – gruppo A2A</w:t>
      </w:r>
    </w:p>
    <w:p w14:paraId="6CA5465B" w14:textId="77777777" w:rsidR="008F31FE" w:rsidRDefault="008F31FE" w:rsidP="007D25B6">
      <w:pPr>
        <w:pStyle w:val="Paragrafoelenco"/>
        <w:numPr>
          <w:ilvl w:val="0"/>
          <w:numId w:val="9"/>
        </w:numPr>
        <w:ind w:left="426"/>
        <w:jc w:val="both"/>
        <w:rPr>
          <w:sz w:val="24"/>
          <w:szCs w:val="24"/>
          <w:lang w:eastAsia="en-GB"/>
        </w:rPr>
      </w:pPr>
      <w:r>
        <w:rPr>
          <w:sz w:val="24"/>
          <w:szCs w:val="24"/>
          <w:lang w:eastAsia="en-GB"/>
        </w:rPr>
        <w:t>G</w:t>
      </w:r>
      <w:r w:rsidRPr="008F31FE">
        <w:rPr>
          <w:sz w:val="24"/>
          <w:szCs w:val="24"/>
          <w:lang w:eastAsia="en-GB"/>
        </w:rPr>
        <w:t>estione tariffe e rapporto con gli utenti</w:t>
      </w:r>
      <w:r>
        <w:rPr>
          <w:sz w:val="24"/>
          <w:szCs w:val="24"/>
          <w:lang w:eastAsia="en-GB"/>
        </w:rPr>
        <w:t>: comune di Brescia.</w:t>
      </w:r>
    </w:p>
    <w:p w14:paraId="1B89044D" w14:textId="77777777" w:rsidR="00D9344D" w:rsidRDefault="008F31FE" w:rsidP="000A22FA">
      <w:r>
        <w:t>I</w:t>
      </w:r>
      <w:r w:rsidR="000A22FA">
        <w:t>l soggetto dotato di adeguati profili di terzietà rispetto ai gestori preposto all’attività di validazione</w:t>
      </w:r>
      <w:r>
        <w:t>, individuato dal comune di Brescia, è Labelab Srl</w:t>
      </w:r>
      <w:r w:rsidR="000A22FA">
        <w:t>.</w:t>
      </w:r>
    </w:p>
    <w:p w14:paraId="7276BF88" w14:textId="77777777" w:rsidR="008F31FE" w:rsidRPr="00773DFA" w:rsidRDefault="008F31FE" w:rsidP="000A22FA"/>
    <w:p w14:paraId="509EC223" w14:textId="77777777" w:rsidR="00D9344D" w:rsidRPr="00773DFA" w:rsidRDefault="004C3EF7" w:rsidP="00D11FF8">
      <w:pPr>
        <w:pStyle w:val="Titolo2"/>
      </w:pPr>
      <w:bookmarkStart w:id="3" w:name="_Toc92569707"/>
      <w:r w:rsidRPr="004C3EF7">
        <w:t>Impianti di chiusura del ciclo del gestore integrato</w:t>
      </w:r>
      <w:bookmarkEnd w:id="3"/>
    </w:p>
    <w:p w14:paraId="758A8AC2" w14:textId="74389759" w:rsidR="00D9344D" w:rsidRDefault="00FE7CC1" w:rsidP="00D9344D">
      <w:r>
        <w:t>La scelta degl</w:t>
      </w:r>
      <w:r w:rsidR="00DF7896" w:rsidRPr="00DF7896">
        <w:t>i impianti di chiusura del ciclo del gestore integrato cui vengono conferiti i rifiuti dell’ambito tariffario oggetto d</w:t>
      </w:r>
      <w:r>
        <w:t>ella</w:t>
      </w:r>
      <w:r w:rsidR="00DF7896" w:rsidRPr="00DF7896">
        <w:t xml:space="preserve"> predisposizione tariffaria</w:t>
      </w:r>
      <w:r>
        <w:t xml:space="preserve"> è effettuata da Aprica S.p.A. che, a seconda degli andamenti di mercato, sceglie i destini che ne ottimizzano la gestione, sia in termini economici</w:t>
      </w:r>
      <w:r w:rsidR="00DF7896" w:rsidRPr="00DF7896">
        <w:t xml:space="preserve"> </w:t>
      </w:r>
      <w:r>
        <w:t xml:space="preserve">(minimizzando il costo di trattamento e/o massimizzando il ricavo di cessione) sia in termini di performance ambientali (privilegiando i migliori percorsi di valorizzazione nel rispetto della gerarchia </w:t>
      </w:r>
      <w:r w:rsidR="00E77EF8">
        <w:t>stabilita</w:t>
      </w:r>
      <w:r w:rsidR="00E77EF8" w:rsidRPr="00E77EF8">
        <w:t xml:space="preserve"> </w:t>
      </w:r>
      <w:r w:rsidR="00E77EF8">
        <w:t xml:space="preserve">dalla </w:t>
      </w:r>
      <w:r w:rsidR="00E77EF8" w:rsidRPr="00E77EF8">
        <w:t>direttiva quadro sui rifiuti 2008/98/EC</w:t>
      </w:r>
      <w:r w:rsidR="00E77EF8">
        <w:t>).</w:t>
      </w:r>
      <w:r w:rsidR="00E77EF8" w:rsidRPr="00E77EF8">
        <w:t xml:space="preserve"> </w:t>
      </w:r>
      <w:r w:rsidR="00E77EF8">
        <w:t>In particolare, per quanto riguarda il rifiuto secco residuo, esso viene conferito in impianti di</w:t>
      </w:r>
      <w:r w:rsidR="00DF7896" w:rsidRPr="00DF7896">
        <w:t xml:space="preserve"> </w:t>
      </w:r>
      <w:r w:rsidR="004251A3">
        <w:t>termovalorizzazione</w:t>
      </w:r>
      <w:r w:rsidR="004251A3" w:rsidRPr="00DF7896">
        <w:t xml:space="preserve"> </w:t>
      </w:r>
      <w:r w:rsidR="00DF7896" w:rsidRPr="00DF7896">
        <w:t>con recupero di energia</w:t>
      </w:r>
      <w:r w:rsidR="00E77EF8">
        <w:t xml:space="preserve"> di proprietà del gruppo A2A</w:t>
      </w:r>
      <w:r w:rsidR="00DF7896" w:rsidRPr="00DF7896">
        <w:t>.</w:t>
      </w:r>
    </w:p>
    <w:p w14:paraId="5EFA30B5" w14:textId="77777777" w:rsidR="00B43118" w:rsidRPr="00773DFA" w:rsidRDefault="00B43118" w:rsidP="00D9344D"/>
    <w:p w14:paraId="3F2B6FE3" w14:textId="77777777" w:rsidR="00D9344D" w:rsidRPr="00773DFA" w:rsidRDefault="00127697" w:rsidP="00D11FF8">
      <w:pPr>
        <w:pStyle w:val="Titolo2"/>
      </w:pPr>
      <w:bookmarkStart w:id="4" w:name="_Toc92569708"/>
      <w:r w:rsidRPr="00127697">
        <w:t>Documentazione per ciascun ambito tariffario</w:t>
      </w:r>
      <w:bookmarkEnd w:id="4"/>
    </w:p>
    <w:p w14:paraId="00703308" w14:textId="3071BBC3" w:rsidR="00B43118" w:rsidRDefault="00B43118" w:rsidP="00B43118">
      <w:r>
        <w:t>In conformità alla previsione dell’articolo 7.3 della deliberazione 3 agosto 2021, 363/2021/R/RIF, la documentazione acquisita dal gestore ed eventualmente completata a cura dell’Ente territorialmente competente</w:t>
      </w:r>
      <w:r w:rsidR="00C047B1">
        <w:t xml:space="preserve">, tra cui la presente relazione, fa riferimento al solo ambito tariffario del </w:t>
      </w:r>
      <w:r w:rsidR="007D25B6">
        <w:t>C</w:t>
      </w:r>
      <w:r w:rsidR="00C047B1">
        <w:t>omune di Brescia.</w:t>
      </w:r>
    </w:p>
    <w:p w14:paraId="6B626C08" w14:textId="77777777" w:rsidR="00D9344D" w:rsidRPr="00773DFA" w:rsidRDefault="00D9344D" w:rsidP="00D9344D"/>
    <w:p w14:paraId="39D75C9A" w14:textId="77777777" w:rsidR="00D9344D" w:rsidRPr="00773DFA" w:rsidRDefault="00BF4EE5" w:rsidP="00D11FF8">
      <w:pPr>
        <w:pStyle w:val="Titolo2"/>
      </w:pPr>
      <w:bookmarkStart w:id="5" w:name="_Toc92569709"/>
      <w:r w:rsidRPr="00BF4EE5">
        <w:lastRenderedPageBreak/>
        <w:t>Altri elementi da segnalare</w:t>
      </w:r>
      <w:bookmarkEnd w:id="5"/>
    </w:p>
    <w:p w14:paraId="16086254" w14:textId="77777777" w:rsidR="00AE47BD" w:rsidRPr="00773DFA" w:rsidRDefault="00EB485E" w:rsidP="00896FD6">
      <w:r w:rsidRPr="00EB485E">
        <w:t xml:space="preserve">L’Ente territorialmente competente </w:t>
      </w:r>
      <w:r>
        <w:t>ritiene che non vi siano</w:t>
      </w:r>
      <w:r w:rsidRPr="00EB485E">
        <w:t xml:space="preserve"> ulteriori elementi, ivi comprese eventuali specificità locali, sottesi alle scelte in concreto adottate nell’ambito del procedimento di approvazione della singola predisposizione tariffaria meritevoli di segnalazione all’Autorità.</w:t>
      </w:r>
    </w:p>
    <w:p w14:paraId="5AB0F6F2" w14:textId="77777777" w:rsidR="002D455F" w:rsidRPr="00773DFA" w:rsidRDefault="002D455F" w:rsidP="00896FD6"/>
    <w:p w14:paraId="51FE983A" w14:textId="77777777" w:rsidR="00AE47BD" w:rsidRPr="00773DFA" w:rsidRDefault="00617364" w:rsidP="00AE47BD">
      <w:pPr>
        <w:pStyle w:val="Titolo1"/>
      </w:pPr>
      <w:bookmarkStart w:id="6" w:name="_Toc92569710"/>
      <w:r w:rsidRPr="00617364">
        <w:t>Descrizione dei servizi forniti</w:t>
      </w:r>
      <w:bookmarkEnd w:id="6"/>
    </w:p>
    <w:p w14:paraId="628562DC" w14:textId="77777777" w:rsidR="00896FD6" w:rsidRPr="00773DFA" w:rsidRDefault="00920FA9" w:rsidP="00A73718">
      <w:pPr>
        <w:pStyle w:val="Titolo2"/>
      </w:pPr>
      <w:bookmarkStart w:id="7" w:name="_Toc92569711"/>
      <w:r w:rsidRPr="00920FA9">
        <w:t>Perimetro della gestione/affidamento e servizi forniti</w:t>
      </w:r>
      <w:bookmarkEnd w:id="7"/>
    </w:p>
    <w:p w14:paraId="322E7B6C" w14:textId="77777777" w:rsidR="00EB485E" w:rsidRDefault="00EB485E" w:rsidP="00EB485E">
      <w:r>
        <w:t xml:space="preserve">Il servizio integrato di gestione dei rifiuti nel comune di Brescia viene erogato in forza di un affidamento </w:t>
      </w:r>
      <w:r w:rsidRPr="003404DD">
        <w:t>diretto ad Aprica S.p.A. società del gruppo A2A che</w:t>
      </w:r>
      <w:r>
        <w:t xml:space="preserve"> trova origine nella seguente cronologia di atti e deliberazioni:</w:t>
      </w:r>
    </w:p>
    <w:p w14:paraId="3ECF9321" w14:textId="77777777" w:rsidR="00EB485E" w:rsidRDefault="00EB485E" w:rsidP="007D25B6">
      <w:pPr>
        <w:pStyle w:val="Paragrafoelenco"/>
        <w:numPr>
          <w:ilvl w:val="0"/>
          <w:numId w:val="26"/>
        </w:numPr>
        <w:spacing w:line="252" w:lineRule="auto"/>
        <w:ind w:left="426"/>
        <w:jc w:val="both"/>
        <w:rPr>
          <w:sz w:val="24"/>
          <w:szCs w:val="24"/>
        </w:rPr>
      </w:pPr>
      <w:r>
        <w:rPr>
          <w:sz w:val="24"/>
          <w:szCs w:val="24"/>
        </w:rPr>
        <w:t xml:space="preserve">con </w:t>
      </w:r>
      <w:r w:rsidRPr="000523A1">
        <w:rPr>
          <w:sz w:val="24"/>
          <w:szCs w:val="24"/>
        </w:rPr>
        <w:t xml:space="preserve">deliberazione del Consiglio Comunale n. 75 </w:t>
      </w:r>
      <w:r>
        <w:rPr>
          <w:sz w:val="24"/>
          <w:szCs w:val="24"/>
        </w:rPr>
        <w:t>del 22.4.2002 veniva approvato il contratto programma per i servizi affidati ad ASM Brescia S.p.A. tra cui il servizio relativo alla raccolta e al trasporto dei rifiuti urbani;</w:t>
      </w:r>
    </w:p>
    <w:p w14:paraId="3C4C28CA" w14:textId="77777777" w:rsidR="00EB485E" w:rsidRPr="000523A1" w:rsidRDefault="00EB485E" w:rsidP="007D25B6">
      <w:pPr>
        <w:pStyle w:val="Paragrafoelenco"/>
        <w:numPr>
          <w:ilvl w:val="0"/>
          <w:numId w:val="26"/>
        </w:numPr>
        <w:spacing w:line="252" w:lineRule="auto"/>
        <w:ind w:left="426"/>
        <w:jc w:val="both"/>
        <w:rPr>
          <w:sz w:val="24"/>
          <w:szCs w:val="24"/>
        </w:rPr>
      </w:pPr>
      <w:r w:rsidRPr="000523A1">
        <w:rPr>
          <w:sz w:val="24"/>
          <w:szCs w:val="24"/>
        </w:rPr>
        <w:t xml:space="preserve">con atto Rep. n. 76506/22988 </w:t>
      </w:r>
      <w:r>
        <w:rPr>
          <w:sz w:val="24"/>
          <w:szCs w:val="24"/>
        </w:rPr>
        <w:t>del</w:t>
      </w:r>
      <w:r w:rsidRPr="000523A1">
        <w:rPr>
          <w:sz w:val="24"/>
          <w:szCs w:val="24"/>
        </w:rPr>
        <w:t xml:space="preserve"> 16.2.2002, a rogito del Notaio dott. Mario Mistretta, detto contratto programma veniva formalizzato;</w:t>
      </w:r>
    </w:p>
    <w:p w14:paraId="50C59204" w14:textId="77777777" w:rsidR="00EB485E" w:rsidRDefault="00EB485E" w:rsidP="007D25B6">
      <w:pPr>
        <w:pStyle w:val="Paragrafoelenco"/>
        <w:numPr>
          <w:ilvl w:val="0"/>
          <w:numId w:val="26"/>
        </w:numPr>
        <w:spacing w:line="252" w:lineRule="auto"/>
        <w:ind w:left="426"/>
        <w:jc w:val="both"/>
        <w:rPr>
          <w:sz w:val="24"/>
          <w:szCs w:val="24"/>
        </w:rPr>
      </w:pPr>
      <w:r>
        <w:rPr>
          <w:sz w:val="24"/>
          <w:szCs w:val="24"/>
        </w:rPr>
        <w:t xml:space="preserve">con </w:t>
      </w:r>
      <w:r w:rsidRPr="000523A1">
        <w:rPr>
          <w:sz w:val="24"/>
          <w:szCs w:val="24"/>
        </w:rPr>
        <w:t xml:space="preserve">deliberazione del Consiglio Comunale n. 123 del 27.6.2007 </w:t>
      </w:r>
      <w:r>
        <w:rPr>
          <w:sz w:val="24"/>
          <w:szCs w:val="24"/>
        </w:rPr>
        <w:t>veniva</w:t>
      </w:r>
      <w:r w:rsidRPr="000523A1">
        <w:rPr>
          <w:sz w:val="24"/>
          <w:szCs w:val="24"/>
        </w:rPr>
        <w:t xml:space="preserve"> approvato il progetto di fusione per incorporazione di ASM Brescia S.p.A. in </w:t>
      </w:r>
      <w:r>
        <w:rPr>
          <w:sz w:val="24"/>
          <w:szCs w:val="24"/>
        </w:rPr>
        <w:t>AEM S.p.A., costituendo, a decorrere dall’1.1.2008, un nuovo soggetto giuridico denominato A2A S.p.A., che è subentrato in tutte le obbligazioni contrattuali sottoscritte tra il Comune di Brescia ed ASM Brescia S.p.A.;</w:t>
      </w:r>
    </w:p>
    <w:p w14:paraId="467F8BFA" w14:textId="77777777" w:rsidR="00EB485E" w:rsidRDefault="00EB485E" w:rsidP="007D25B6">
      <w:pPr>
        <w:pStyle w:val="Paragrafoelenco"/>
        <w:numPr>
          <w:ilvl w:val="0"/>
          <w:numId w:val="26"/>
        </w:numPr>
        <w:spacing w:line="252" w:lineRule="auto"/>
        <w:ind w:left="426"/>
        <w:jc w:val="both"/>
        <w:rPr>
          <w:sz w:val="24"/>
          <w:szCs w:val="24"/>
        </w:rPr>
      </w:pPr>
      <w:r>
        <w:rPr>
          <w:sz w:val="24"/>
          <w:szCs w:val="24"/>
        </w:rPr>
        <w:t>in data 31.12.2007 ASM Brescia S.p.A. ha conferito il proprio ramo d’azienda dedicato all’attività di igiene urbana alla società del Gruppo ASM denominata APRICA S.p.A.</w:t>
      </w:r>
    </w:p>
    <w:p w14:paraId="2629DE92" w14:textId="77777777" w:rsidR="00EB485E" w:rsidRPr="000523A1" w:rsidRDefault="00EB485E" w:rsidP="007D25B6">
      <w:pPr>
        <w:pStyle w:val="Paragrafoelenco"/>
        <w:numPr>
          <w:ilvl w:val="0"/>
          <w:numId w:val="26"/>
        </w:numPr>
        <w:spacing w:after="0" w:line="240" w:lineRule="auto"/>
        <w:ind w:left="426"/>
        <w:jc w:val="both"/>
        <w:textAlignment w:val="baseline"/>
        <w:rPr>
          <w:sz w:val="24"/>
          <w:szCs w:val="24"/>
        </w:rPr>
      </w:pPr>
      <w:r w:rsidRPr="000523A1">
        <w:rPr>
          <w:sz w:val="24"/>
          <w:szCs w:val="24"/>
        </w:rPr>
        <w:t>con deliberazione del Consiglio Comunale n. 35 del 16.3.2015 è stato disposto di modificare il sistema di raccolta dei rifiuti urbani, introducendo il “sistema di raccolta domiciliare combinato”</w:t>
      </w:r>
      <w:r>
        <w:rPr>
          <w:sz w:val="24"/>
          <w:szCs w:val="24"/>
        </w:rPr>
        <w:t>;</w:t>
      </w:r>
    </w:p>
    <w:p w14:paraId="2F4C5E55" w14:textId="3A133116" w:rsidR="00EB485E" w:rsidRPr="000523A1" w:rsidRDefault="00EB485E" w:rsidP="007D25B6">
      <w:pPr>
        <w:pStyle w:val="Paragrafoelenco"/>
        <w:numPr>
          <w:ilvl w:val="0"/>
          <w:numId w:val="26"/>
        </w:numPr>
        <w:spacing w:line="252" w:lineRule="auto"/>
        <w:ind w:left="426"/>
        <w:jc w:val="both"/>
        <w:rPr>
          <w:sz w:val="24"/>
          <w:szCs w:val="24"/>
        </w:rPr>
      </w:pPr>
      <w:r w:rsidRPr="000523A1">
        <w:rPr>
          <w:sz w:val="24"/>
          <w:szCs w:val="24"/>
        </w:rPr>
        <w:t>con deliberazione della Giunta Comunale n. 832 del 30 dicembre 2016 venivano approvati l’aggiornamento e l’adeguamento delle specifiche tecniche riferite al se</w:t>
      </w:r>
      <w:r w:rsidR="00A473B1">
        <w:rPr>
          <w:sz w:val="24"/>
          <w:szCs w:val="24"/>
        </w:rPr>
        <w:t>r</w:t>
      </w:r>
      <w:r w:rsidRPr="000523A1">
        <w:rPr>
          <w:sz w:val="24"/>
          <w:szCs w:val="24"/>
        </w:rPr>
        <w:t>vizio di raccolta e trasporto dei rifiuti urbani per la città di Brescia</w:t>
      </w:r>
      <w:r>
        <w:rPr>
          <w:sz w:val="24"/>
          <w:szCs w:val="24"/>
        </w:rPr>
        <w:t>;</w:t>
      </w:r>
    </w:p>
    <w:p w14:paraId="1FCBADCF" w14:textId="4FD0F92D" w:rsidR="00EB485E" w:rsidRPr="000523A1" w:rsidRDefault="00EB485E" w:rsidP="007D25B6">
      <w:pPr>
        <w:pStyle w:val="Paragrafoelenco"/>
        <w:numPr>
          <w:ilvl w:val="0"/>
          <w:numId w:val="26"/>
        </w:numPr>
        <w:spacing w:line="252" w:lineRule="auto"/>
        <w:ind w:left="426"/>
        <w:jc w:val="both"/>
        <w:rPr>
          <w:sz w:val="24"/>
          <w:szCs w:val="24"/>
        </w:rPr>
      </w:pPr>
      <w:r w:rsidRPr="000523A1">
        <w:rPr>
          <w:sz w:val="24"/>
          <w:szCs w:val="24"/>
        </w:rPr>
        <w:t xml:space="preserve">in data 5 febbraio 2018 </w:t>
      </w:r>
      <w:r>
        <w:rPr>
          <w:sz w:val="24"/>
          <w:szCs w:val="24"/>
        </w:rPr>
        <w:t>veniva</w:t>
      </w:r>
      <w:r w:rsidRPr="000523A1">
        <w:rPr>
          <w:sz w:val="24"/>
          <w:szCs w:val="24"/>
        </w:rPr>
        <w:t xml:space="preserve"> stipulato l’atto </w:t>
      </w:r>
      <w:r>
        <w:rPr>
          <w:sz w:val="24"/>
          <w:szCs w:val="24"/>
        </w:rPr>
        <w:t>(</w:t>
      </w:r>
      <w:r w:rsidRPr="000523A1">
        <w:rPr>
          <w:sz w:val="24"/>
          <w:szCs w:val="24"/>
        </w:rPr>
        <w:t>n. 804 REP</w:t>
      </w:r>
      <w:r>
        <w:rPr>
          <w:sz w:val="24"/>
          <w:szCs w:val="24"/>
        </w:rPr>
        <w:t>)</w:t>
      </w:r>
      <w:r w:rsidRPr="000523A1">
        <w:rPr>
          <w:sz w:val="24"/>
          <w:szCs w:val="24"/>
        </w:rPr>
        <w:t xml:space="preserve"> relativo all’aggiornamento e adeguamento delle specifiche tecniche di cui al punto precedente.</w:t>
      </w:r>
    </w:p>
    <w:p w14:paraId="63D7AA40" w14:textId="77777777" w:rsidR="00EB485E" w:rsidRDefault="00EB485E" w:rsidP="00EB485E"/>
    <w:p w14:paraId="63AB4119" w14:textId="77777777" w:rsidR="00EB485E" w:rsidRPr="007D25B6" w:rsidRDefault="00EB485E" w:rsidP="007D25B6">
      <w:pPr>
        <w:spacing w:after="120"/>
        <w:rPr>
          <w:b/>
          <w:bCs/>
        </w:rPr>
      </w:pPr>
      <w:r w:rsidRPr="007D25B6">
        <w:rPr>
          <w:b/>
          <w:bCs/>
        </w:rPr>
        <w:t>I servizi erogati vengono richiamati brevemente nell’elenco che segue:</w:t>
      </w:r>
    </w:p>
    <w:p w14:paraId="1A8FFE7D"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RACCOLTA DEI RIFIUTI URBANI INDIFFERENZIATI CON CASSONETTI</w:t>
      </w:r>
    </w:p>
    <w:p w14:paraId="2122C8F8"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RACCOLTA DELLA FORSU CON CASSONETTI</w:t>
      </w:r>
    </w:p>
    <w:p w14:paraId="4E84977A"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RACCOLTA DELLA PLASTICA</w:t>
      </w:r>
    </w:p>
    <w:p w14:paraId="4FB404CD"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RACCOLTA DI CARTA/CARTONE</w:t>
      </w:r>
      <w:r w:rsidRPr="00C47B4E">
        <w:rPr>
          <w:color w:val="000000"/>
          <w:sz w:val="24"/>
          <w:szCs w:val="24"/>
          <w:lang w:val="x-none"/>
        </w:rPr>
        <w:tab/>
      </w:r>
    </w:p>
    <w:p w14:paraId="48291260"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RACCOLTA DEL VETRO E DEI METALLI</w:t>
      </w:r>
    </w:p>
    <w:p w14:paraId="6AB2C7E9"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RACCOTA SFALCI E POTATURE</w:t>
      </w:r>
    </w:p>
    <w:p w14:paraId="67AC2A15"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ALTRE RACCOLTE DIFFERENZIATE</w:t>
      </w:r>
    </w:p>
    <w:p w14:paraId="52D74BCF"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RACCOLTA A DOMICILIO DEI RIFIUTI INGOMBRANTI SU PRENOTAZIONE</w:t>
      </w:r>
    </w:p>
    <w:p w14:paraId="2884186C"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ECOCAR</w:t>
      </w:r>
      <w:r w:rsidRPr="00C47B4E">
        <w:rPr>
          <w:color w:val="000000"/>
          <w:sz w:val="24"/>
          <w:szCs w:val="24"/>
          <w:lang w:val="x-none"/>
        </w:rPr>
        <w:tab/>
      </w:r>
    </w:p>
    <w:p w14:paraId="6EA9A100"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RACCOLTE INTEGRATIVE PRESSO UTENZE NON DOMESTICHE</w:t>
      </w:r>
    </w:p>
    <w:p w14:paraId="7C927EEC"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lastRenderedPageBreak/>
        <w:t>MANUTENZIONE DEI CONTENITORI E FORNITURE PER IL SERVIZIO DI RACCOLTA</w:t>
      </w:r>
    </w:p>
    <w:p w14:paraId="1B1C22BE"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SPAZZAMENTO MANUALE DEL SUOLO</w:t>
      </w:r>
    </w:p>
    <w:p w14:paraId="216D8201"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SPAZZAMENTO MECCANIZZATO</w:t>
      </w:r>
    </w:p>
    <w:p w14:paraId="012135F0"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SPAZZAMENTO MISTO</w:t>
      </w:r>
    </w:p>
    <w:p w14:paraId="721ED5EE"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LAVAGGIO DEL SUOLO</w:t>
      </w:r>
    </w:p>
    <w:p w14:paraId="24020FF0"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SERVIZI STAGIONALI</w:t>
      </w:r>
    </w:p>
    <w:p w14:paraId="7E2A2E98"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ATTIVITÀ COMPLEMENTARI AI SERVIZI DI IGIENE URBANA</w:t>
      </w:r>
    </w:p>
    <w:p w14:paraId="334A7734" w14:textId="77777777" w:rsidR="00EB485E" w:rsidRPr="00C47B4E" w:rsidRDefault="00EB485E" w:rsidP="007D25B6">
      <w:pPr>
        <w:pStyle w:val="Paragrafoelenco"/>
        <w:numPr>
          <w:ilvl w:val="0"/>
          <w:numId w:val="27"/>
        </w:numPr>
        <w:autoSpaceDE w:val="0"/>
        <w:autoSpaceDN w:val="0"/>
        <w:adjustRightInd w:val="0"/>
        <w:snapToGrid w:val="0"/>
        <w:spacing w:after="120"/>
        <w:ind w:left="426" w:hanging="426"/>
        <w:contextualSpacing w:val="0"/>
        <w:rPr>
          <w:color w:val="000000"/>
          <w:sz w:val="24"/>
          <w:szCs w:val="24"/>
          <w:lang w:val="x-none"/>
        </w:rPr>
      </w:pPr>
      <w:r w:rsidRPr="00C47B4E">
        <w:rPr>
          <w:color w:val="000000"/>
          <w:sz w:val="24"/>
          <w:szCs w:val="24"/>
          <w:lang w:val="x-none"/>
        </w:rPr>
        <w:t>ATTIVITÀ SPECIFICHE PER L’INCREMENTO DEL DECORO URBANO</w:t>
      </w:r>
    </w:p>
    <w:p w14:paraId="4ACBD4A4" w14:textId="77777777" w:rsidR="00EB485E" w:rsidRPr="00825002" w:rsidRDefault="00EB485E" w:rsidP="000933E8">
      <w:pPr>
        <w:tabs>
          <w:tab w:val="left" w:pos="792"/>
        </w:tabs>
        <w:spacing w:before="117" w:line="244" w:lineRule="exact"/>
        <w:ind w:left="360"/>
        <w:textAlignment w:val="baseline"/>
      </w:pPr>
    </w:p>
    <w:p w14:paraId="08A96DC0" w14:textId="692F6443" w:rsidR="00B3723B" w:rsidRDefault="000933E8" w:rsidP="00B3723B">
      <w:r w:rsidRPr="00D63F9B">
        <w:t>Non si evidenziano attività esterne al servizio integrato di gestione ai sensi dell’art.</w:t>
      </w:r>
      <w:r w:rsidR="00B3723B" w:rsidRPr="00D63F9B">
        <w:t xml:space="preserve"> 1 Allegato A della Deliberazione 363/2021/R/rif.</w:t>
      </w:r>
    </w:p>
    <w:p w14:paraId="5A2640B8" w14:textId="77777777" w:rsidR="00286701" w:rsidRPr="00481078" w:rsidRDefault="00286701" w:rsidP="00B3723B"/>
    <w:p w14:paraId="66E40DE1" w14:textId="77777777" w:rsidR="00F71EFD" w:rsidRPr="00773DFA" w:rsidRDefault="000933E8" w:rsidP="000933E8">
      <w:r w:rsidRPr="00B3723B">
        <w:t xml:space="preserve">La </w:t>
      </w:r>
      <w:r w:rsidR="00EB485E" w:rsidRPr="00B3723B">
        <w:t>micro-raccolta</w:t>
      </w:r>
      <w:r w:rsidRPr="00B3723B">
        <w:t xml:space="preserve"> dell’amianto da utenze domestiche non è erogata nell’ambito della gestione dei rifiuti urbani.</w:t>
      </w:r>
    </w:p>
    <w:p w14:paraId="55F5543E" w14:textId="77777777" w:rsidR="0034191C" w:rsidRPr="00773DFA" w:rsidRDefault="0034191C" w:rsidP="0034191C"/>
    <w:p w14:paraId="3FADB0C1" w14:textId="77777777" w:rsidR="0034191C" w:rsidRPr="00773DFA" w:rsidRDefault="00A35DB7" w:rsidP="0034191C">
      <w:pPr>
        <w:pStyle w:val="Titolo2"/>
      </w:pPr>
      <w:bookmarkStart w:id="8" w:name="_Toc92569712"/>
      <w:r w:rsidRPr="00A35DB7">
        <w:t>Altre informazioni rilevanti</w:t>
      </w:r>
      <w:bookmarkEnd w:id="8"/>
    </w:p>
    <w:p w14:paraId="37ABBAA6" w14:textId="40FDC687" w:rsidR="00483678" w:rsidRPr="00773DFA" w:rsidRDefault="00221BC2" w:rsidP="00221BC2">
      <w:r>
        <w:t>Aprica S.p.A. non è sottoposta a fallimento e non si trova in stato di liquidazione coatta o di concordato preventivo e non è in corso nei suoi confronti un procedimento per la dichiarazione di una di tali situazioni.</w:t>
      </w:r>
      <w:r w:rsidR="00286701">
        <w:t xml:space="preserve"> </w:t>
      </w:r>
      <w:r>
        <w:t xml:space="preserve">Con riferimento alla legittimità del titolo in forza del quale Aprica S.p.A. esercisce il servizio presso il </w:t>
      </w:r>
      <w:r w:rsidR="004251A3">
        <w:t>C</w:t>
      </w:r>
      <w:r>
        <w:t>omune, non sono pendenti ricorsi né sono state depositate sentenze passate in giudicato.</w:t>
      </w:r>
    </w:p>
    <w:p w14:paraId="52244420" w14:textId="77777777" w:rsidR="00FF6A01" w:rsidRPr="00773DFA" w:rsidRDefault="00FF6A01" w:rsidP="003E336F"/>
    <w:p w14:paraId="545666F3" w14:textId="77777777" w:rsidR="005316ED" w:rsidRPr="00773DFA" w:rsidRDefault="00400CC0" w:rsidP="003E336F">
      <w:pPr>
        <w:pStyle w:val="Titolo1"/>
      </w:pPr>
      <w:bookmarkStart w:id="9" w:name="_Toc92569713"/>
      <w:r w:rsidRPr="00400CC0">
        <w:t>Dati relativi alla gestione dell’ambito tariffario</w:t>
      </w:r>
      <w:bookmarkEnd w:id="9"/>
    </w:p>
    <w:p w14:paraId="11B864A0" w14:textId="77777777" w:rsidR="00305479" w:rsidRPr="00773DFA" w:rsidRDefault="00305479" w:rsidP="00305479"/>
    <w:p w14:paraId="69F91AA0" w14:textId="77777777" w:rsidR="005316ED" w:rsidRDefault="00E545A9" w:rsidP="00A73718">
      <w:pPr>
        <w:pStyle w:val="Titolo2"/>
      </w:pPr>
      <w:bookmarkStart w:id="10" w:name="_Toc92569714"/>
      <w:r w:rsidRPr="00E545A9">
        <w:t>Dati tecnici e patrimoniali</w:t>
      </w:r>
      <w:bookmarkEnd w:id="10"/>
    </w:p>
    <w:p w14:paraId="7449A844" w14:textId="77777777" w:rsidR="00A94BD8" w:rsidRPr="00773DFA" w:rsidRDefault="00A94BD8" w:rsidP="00F613AA">
      <w:pPr>
        <w:pStyle w:val="Titolo3"/>
      </w:pPr>
      <w:bookmarkStart w:id="11" w:name="_Toc23417913"/>
      <w:bookmarkStart w:id="12" w:name="_Toc23418030"/>
      <w:bookmarkStart w:id="13" w:name="_Toc23418156"/>
      <w:bookmarkStart w:id="14" w:name="_Toc92569715"/>
      <w:bookmarkEnd w:id="11"/>
      <w:bookmarkEnd w:id="12"/>
      <w:bookmarkEnd w:id="13"/>
      <w:r w:rsidRPr="00773DFA">
        <w:t>Dati su</w:t>
      </w:r>
      <w:r w:rsidR="00131398" w:rsidRPr="00773DFA">
        <w:t>l</w:t>
      </w:r>
      <w:r w:rsidRPr="00773DFA">
        <w:t xml:space="preserve"> territorio gestito e</w:t>
      </w:r>
      <w:r w:rsidR="00131398" w:rsidRPr="00773DFA">
        <w:t xml:space="preserve"> sull’</w:t>
      </w:r>
      <w:r w:rsidRPr="00773DFA">
        <w:t>affidamento</w:t>
      </w:r>
      <w:bookmarkEnd w:id="14"/>
    </w:p>
    <w:p w14:paraId="48C93755" w14:textId="663D5C2B" w:rsidR="002D4174" w:rsidRDefault="007373CD" w:rsidP="00027545">
      <w:pPr>
        <w:rPr>
          <w:color w:val="000000"/>
        </w:rPr>
      </w:pPr>
      <w:r w:rsidRPr="00BC5306">
        <w:t xml:space="preserve">Per </w:t>
      </w:r>
      <w:r w:rsidR="00A778B9" w:rsidRPr="00BC5306">
        <w:t xml:space="preserve">gli </w:t>
      </w:r>
      <w:r w:rsidRPr="00BC5306">
        <w:t>ann</w:t>
      </w:r>
      <w:r w:rsidR="00A778B9" w:rsidRPr="00BC5306">
        <w:t>i</w:t>
      </w:r>
      <w:r w:rsidRPr="00BC5306">
        <w:t xml:space="preserve"> 2022</w:t>
      </w:r>
      <w:r w:rsidR="00A778B9" w:rsidRPr="00BC5306">
        <w:t>-2025</w:t>
      </w:r>
      <w:r w:rsidRPr="00BC5306">
        <w:t xml:space="preserve"> il gestore è chiamato a svolgere i servizi così come stabiliti nel contra</w:t>
      </w:r>
      <w:r w:rsidR="009B19DD">
        <w:t xml:space="preserve">tto di </w:t>
      </w:r>
      <w:bookmarkStart w:id="15" w:name="_GoBack"/>
      <w:bookmarkEnd w:id="15"/>
      <w:r w:rsidR="009B19DD">
        <w:t>servizio</w:t>
      </w:r>
      <w:r w:rsidR="007A6CC3" w:rsidRPr="00BC5306">
        <w:t>;</w:t>
      </w:r>
      <w:bookmarkStart w:id="16" w:name="_Hlk87342326"/>
      <w:r w:rsidR="00A778B9" w:rsidRPr="00BC5306">
        <w:t xml:space="preserve"> </w:t>
      </w:r>
      <w:r w:rsidR="00162738" w:rsidRPr="00BC5306">
        <w:t>non vi sono dunque variazioni attese di perimetro rispetto a quanto erogato nell’anno 202</w:t>
      </w:r>
      <w:r w:rsidR="007A6CC3" w:rsidRPr="00BC5306">
        <w:t>1</w:t>
      </w:r>
      <w:r w:rsidR="00162738" w:rsidRPr="00BC5306">
        <w:t>.</w:t>
      </w:r>
      <w:r w:rsidR="004D2750" w:rsidRPr="004D2750">
        <w:t xml:space="preserve"> </w:t>
      </w:r>
    </w:p>
    <w:p w14:paraId="6A5C90D1" w14:textId="77777777" w:rsidR="002D4174" w:rsidRPr="00BC5306" w:rsidRDefault="002D4174" w:rsidP="00CC09E4"/>
    <w:p w14:paraId="7C2C9310" w14:textId="77777777" w:rsidR="00C33520" w:rsidRPr="00BC5306" w:rsidRDefault="00A94BD8" w:rsidP="00CC09E4">
      <w:pPr>
        <w:pStyle w:val="Titolo3"/>
      </w:pPr>
      <w:bookmarkStart w:id="17" w:name="_Toc92569716"/>
      <w:bookmarkEnd w:id="16"/>
      <w:r w:rsidRPr="00BC5306">
        <w:t>Dati tecnici</w:t>
      </w:r>
      <w:r w:rsidR="002B703E" w:rsidRPr="00BC5306">
        <w:t xml:space="preserve"> e di qualità</w:t>
      </w:r>
      <w:bookmarkStart w:id="18" w:name="_Hlk22049505"/>
      <w:bookmarkEnd w:id="17"/>
    </w:p>
    <w:p w14:paraId="5512D7A7" w14:textId="77777777" w:rsidR="004B726B" w:rsidRDefault="00B3723B" w:rsidP="004B726B">
      <w:pPr>
        <w:tabs>
          <w:tab w:val="left" w:pos="360"/>
          <w:tab w:val="left" w:pos="792"/>
        </w:tabs>
        <w:spacing w:line="291" w:lineRule="exact"/>
        <w:ind w:left="57"/>
        <w:textAlignment w:val="baseline"/>
      </w:pPr>
      <w:r w:rsidRPr="00A778B9">
        <w:t xml:space="preserve">Aprica S.p.A., impregiudicate eventuali previsioni contrattuali che impongano modifiche progressive del servizio (quali ad esempio raggiungimento di percentuali di raccolta differenziata o riduzione della frequenza della raccolta dell’indifferenziato), garantisce in ogni caso l’impegno al miglioramento continuo delle proprie prestazioni, volto ad incrementare la qualità dei servizi resi in termini di efficacia, efficienza e qualità ambientale. Per quanto riguarda il livello di raccolta differenziata, tale impegno ad applicare le migliori metodologie </w:t>
      </w:r>
      <w:r w:rsidR="009A4C1B" w:rsidRPr="00A778B9">
        <w:t>nel periodo 2022-2025</w:t>
      </w:r>
      <w:r w:rsidRPr="00A778B9">
        <w:t xml:space="preserve"> si traduce, senza assunzione di obbligo di risultato, nel mantenimento, o incremento se possibile, del livello raggiunto </w:t>
      </w:r>
      <w:r w:rsidRPr="00BC5306">
        <w:t>nell’anno 20</w:t>
      </w:r>
      <w:r w:rsidR="004B726B">
        <w:t>20</w:t>
      </w:r>
      <w:r w:rsidRPr="00BC5306">
        <w:t xml:space="preserve"> che è pari al </w:t>
      </w:r>
      <w:r w:rsidR="004B726B">
        <w:t>72,4</w:t>
      </w:r>
      <w:r w:rsidRPr="00BC5306">
        <w:t>%.</w:t>
      </w:r>
    </w:p>
    <w:p w14:paraId="4EE811D6" w14:textId="77777777" w:rsidR="002D4174" w:rsidRDefault="002D4174" w:rsidP="004B726B">
      <w:pPr>
        <w:tabs>
          <w:tab w:val="left" w:pos="360"/>
          <w:tab w:val="left" w:pos="792"/>
        </w:tabs>
        <w:spacing w:line="291" w:lineRule="exact"/>
        <w:ind w:left="57"/>
        <w:textAlignment w:val="baseline"/>
        <w:rPr>
          <w:color w:val="000000"/>
        </w:rPr>
      </w:pPr>
    </w:p>
    <w:p w14:paraId="3801155C" w14:textId="77777777" w:rsidR="004B726B" w:rsidRDefault="004B726B" w:rsidP="004B726B">
      <w:pPr>
        <w:tabs>
          <w:tab w:val="left" w:pos="360"/>
          <w:tab w:val="left" w:pos="792"/>
        </w:tabs>
        <w:spacing w:line="291" w:lineRule="exact"/>
        <w:ind w:left="57"/>
        <w:textAlignment w:val="baseline"/>
        <w:rPr>
          <w:color w:val="000000"/>
        </w:rPr>
      </w:pPr>
      <w:r w:rsidRPr="00BC5306">
        <w:rPr>
          <w:color w:val="000000"/>
        </w:rPr>
        <w:t xml:space="preserve">Per gli anni 2022-2025 </w:t>
      </w:r>
      <w:r>
        <w:rPr>
          <w:color w:val="000000"/>
        </w:rPr>
        <w:t>sono state previste le seguenti iniziative collegate al miglioramento della qualità del servizio:</w:t>
      </w:r>
    </w:p>
    <w:p w14:paraId="582E1190" w14:textId="270BFAF8" w:rsidR="00B3723B" w:rsidRPr="009D584F" w:rsidRDefault="009D584F" w:rsidP="009D584F">
      <w:pPr>
        <w:pStyle w:val="Paragrafoelenco"/>
        <w:numPr>
          <w:ilvl w:val="0"/>
          <w:numId w:val="28"/>
        </w:numPr>
        <w:tabs>
          <w:tab w:val="left" w:pos="360"/>
          <w:tab w:val="left" w:pos="792"/>
        </w:tabs>
        <w:spacing w:line="291" w:lineRule="exact"/>
        <w:jc w:val="both"/>
        <w:textAlignment w:val="baseline"/>
        <w:rPr>
          <w:color w:val="000000"/>
          <w:sz w:val="24"/>
          <w:szCs w:val="24"/>
        </w:rPr>
      </w:pPr>
      <w:r>
        <w:rPr>
          <w:color w:val="000000"/>
          <w:sz w:val="24"/>
          <w:szCs w:val="24"/>
        </w:rPr>
        <w:lastRenderedPageBreak/>
        <w:t xml:space="preserve">realizzazione di un nuovo centro di raccolta, aggiuntivo rispetto ai 5 attuali, con inizio operatività previsto nell’anno </w:t>
      </w:r>
      <w:r w:rsidR="0055047E">
        <w:rPr>
          <w:color w:val="000000"/>
          <w:sz w:val="24"/>
          <w:szCs w:val="24"/>
        </w:rPr>
        <w:t>2023</w:t>
      </w:r>
      <w:r>
        <w:rPr>
          <w:color w:val="000000"/>
          <w:sz w:val="24"/>
          <w:szCs w:val="24"/>
        </w:rPr>
        <w:t>.</w:t>
      </w:r>
    </w:p>
    <w:p w14:paraId="7A829651" w14:textId="77777777" w:rsidR="00286701" w:rsidRDefault="00286701" w:rsidP="00B61F93">
      <w:pPr>
        <w:rPr>
          <w:color w:val="000000"/>
        </w:rPr>
      </w:pPr>
    </w:p>
    <w:p w14:paraId="7A64A5CA" w14:textId="62B5FB9D" w:rsidR="00B3723B" w:rsidRPr="00BC5306" w:rsidRDefault="00B3723B" w:rsidP="00B61F93">
      <w:pPr>
        <w:rPr>
          <w:color w:val="000000"/>
        </w:rPr>
      </w:pPr>
      <w:r w:rsidRPr="00BC5306">
        <w:rPr>
          <w:color w:val="000000"/>
        </w:rPr>
        <w:t>Per il periodo 2022-2025 si evidenzia in</w:t>
      </w:r>
      <w:r w:rsidR="009D584F">
        <w:rPr>
          <w:color w:val="000000"/>
        </w:rPr>
        <w:t>oltre</w:t>
      </w:r>
      <w:r w:rsidRPr="00BC5306">
        <w:rPr>
          <w:color w:val="000000"/>
        </w:rPr>
        <w:t xml:space="preserve"> l’esigenza di valorizzare il coefficiente </w:t>
      </w:r>
      <w:r w:rsidRPr="00BC5306">
        <w:rPr>
          <w:lang w:eastAsia="en-GB"/>
        </w:rPr>
        <w:t>QL</w:t>
      </w:r>
      <w:r w:rsidRPr="00BC5306">
        <w:rPr>
          <w:vertAlign w:val="subscript"/>
          <w:lang w:eastAsia="en-GB"/>
        </w:rPr>
        <w:t xml:space="preserve">a </w:t>
      </w:r>
      <w:r w:rsidRPr="00BC5306">
        <w:rPr>
          <w:color w:val="000000"/>
        </w:rPr>
        <w:t xml:space="preserve">per </w:t>
      </w:r>
      <w:r w:rsidR="007F07CE" w:rsidRPr="00BC5306">
        <w:rPr>
          <w:color w:val="000000"/>
        </w:rPr>
        <w:t xml:space="preserve">garantire la copertura dei costi emergenti </w:t>
      </w:r>
      <w:r w:rsidRPr="00BC5306">
        <w:rPr>
          <w:color w:val="000000"/>
        </w:rPr>
        <w:t>di natura previsionale (</w:t>
      </w:r>
      <w:r w:rsidRPr="00BC5306">
        <w:rPr>
          <w:color w:val="000000"/>
          <w:sz w:val="22"/>
          <w:szCs w:val="22"/>
        </w:rPr>
        <w:t>CQ</w:t>
      </w:r>
      <w:r w:rsidRPr="00BC5306">
        <w:rPr>
          <w:color w:val="000000"/>
          <w:sz w:val="22"/>
          <w:szCs w:val="22"/>
          <w:vertAlign w:val="superscript"/>
        </w:rPr>
        <w:t>EXP</w:t>
      </w:r>
      <w:r w:rsidRPr="00BC5306">
        <w:rPr>
          <w:color w:val="000000"/>
        </w:rPr>
        <w:t>)</w:t>
      </w:r>
      <w:r w:rsidR="00B61F93" w:rsidRPr="00BC5306">
        <w:rPr>
          <w:color w:val="000000"/>
        </w:rPr>
        <w:t xml:space="preserve"> per la compliance alla qualità regolata.</w:t>
      </w:r>
    </w:p>
    <w:p w14:paraId="0239267B" w14:textId="59316701" w:rsidR="00B3723B" w:rsidRDefault="00A778B9" w:rsidP="00B61F93">
      <w:pPr>
        <w:rPr>
          <w:color w:val="000000"/>
        </w:rPr>
      </w:pPr>
      <w:r w:rsidRPr="00BC5306">
        <w:rPr>
          <w:color w:val="000000"/>
        </w:rPr>
        <w:t>Alla data di redazione del presente Piano Economico Finanziario</w:t>
      </w:r>
      <w:r w:rsidR="00BA17E8" w:rsidRPr="00BC5306">
        <w:rPr>
          <w:color w:val="000000"/>
        </w:rPr>
        <w:t xml:space="preserve"> da parte del gestore</w:t>
      </w:r>
      <w:r w:rsidRPr="00BC5306">
        <w:rPr>
          <w:color w:val="000000"/>
        </w:rPr>
        <w:t xml:space="preserve">, ARERA </w:t>
      </w:r>
      <w:r w:rsidR="0049428E" w:rsidRPr="00BC5306">
        <w:rPr>
          <w:color w:val="000000"/>
        </w:rPr>
        <w:t xml:space="preserve">ha emanato il DCO 422/2021/R/rif, da cui si evincono gli orientamenti finali </w:t>
      </w:r>
      <w:r w:rsidR="00A42779" w:rsidRPr="00BC5306">
        <w:rPr>
          <w:color w:val="000000"/>
        </w:rPr>
        <w:t>dell’Autorità nella regolazione della qualità contrattuale e tecnica del servizio di gestione dei rifiuti urbani, ma</w:t>
      </w:r>
      <w:r w:rsidR="0049428E" w:rsidRPr="00BC5306">
        <w:rPr>
          <w:color w:val="000000"/>
        </w:rPr>
        <w:t xml:space="preserve"> </w:t>
      </w:r>
      <w:r w:rsidRPr="00BC5306">
        <w:rPr>
          <w:color w:val="000000"/>
        </w:rPr>
        <w:t xml:space="preserve">non ha </w:t>
      </w:r>
      <w:r w:rsidR="0049428E" w:rsidRPr="00BC5306">
        <w:rPr>
          <w:color w:val="000000"/>
        </w:rPr>
        <w:t>ancora emanato la delibera</w:t>
      </w:r>
      <w:r w:rsidR="00A42779" w:rsidRPr="00BC5306">
        <w:rPr>
          <w:color w:val="000000"/>
        </w:rPr>
        <w:t xml:space="preserve"> definitiva</w:t>
      </w:r>
      <w:r w:rsidR="00BA17E8" w:rsidRPr="00BC5306">
        <w:rPr>
          <w:color w:val="000000"/>
        </w:rPr>
        <w:t>.</w:t>
      </w:r>
      <w:r w:rsidR="00A42779" w:rsidRPr="00BC5306">
        <w:rPr>
          <w:color w:val="000000"/>
        </w:rPr>
        <w:t xml:space="preserve"> </w:t>
      </w:r>
      <w:r w:rsidR="00BA17E8" w:rsidRPr="00BC5306">
        <w:rPr>
          <w:color w:val="000000"/>
        </w:rPr>
        <w:t>P</w:t>
      </w:r>
      <w:r w:rsidR="00A42779" w:rsidRPr="00BC5306">
        <w:rPr>
          <w:color w:val="000000"/>
        </w:rPr>
        <w:t>er</w:t>
      </w:r>
      <w:r w:rsidR="00BA17E8" w:rsidRPr="00BC5306">
        <w:rPr>
          <w:color w:val="000000"/>
        </w:rPr>
        <w:t xml:space="preserve">tanto, non essendo possibile elaborare una previsione budgetaria precisa dei maggiori oneri che l’ETC dovrà pure affrontare nel quadriennio 2022-2025, si indica una stima per il coefficiente </w:t>
      </w:r>
      <w:r w:rsidR="00BA17E8" w:rsidRPr="00BC5306">
        <w:rPr>
          <w:lang w:eastAsia="en-GB"/>
        </w:rPr>
        <w:t>QL</w:t>
      </w:r>
      <w:r w:rsidR="00BA17E8" w:rsidRPr="00BC5306">
        <w:rPr>
          <w:vertAlign w:val="subscript"/>
          <w:lang w:eastAsia="en-GB"/>
        </w:rPr>
        <w:t xml:space="preserve">a </w:t>
      </w:r>
      <w:r w:rsidR="003973BC">
        <w:rPr>
          <w:color w:val="000000"/>
        </w:rPr>
        <w:t>per il solo anno 2024</w:t>
      </w:r>
      <w:r w:rsidR="00B61F93" w:rsidRPr="004E796B">
        <w:rPr>
          <w:color w:val="000000"/>
        </w:rPr>
        <w:t>.</w:t>
      </w:r>
    </w:p>
    <w:p w14:paraId="2E577659" w14:textId="77777777" w:rsidR="00286701" w:rsidRDefault="00286701" w:rsidP="00B61F93">
      <w:pPr>
        <w:rPr>
          <w:color w:val="000000"/>
        </w:rPr>
      </w:pPr>
    </w:p>
    <w:p w14:paraId="6585E5F8" w14:textId="77777777" w:rsidR="000F3153" w:rsidRDefault="000F3153" w:rsidP="00B61F93">
      <w:pPr>
        <w:rPr>
          <w:color w:val="000000"/>
        </w:rPr>
      </w:pPr>
      <w:r>
        <w:rPr>
          <w:color w:val="000000"/>
        </w:rPr>
        <w:t>La stringa dei QL previsti nell’arco 2022-2025 comprendente gli effetti sopra descritti è dunque:</w:t>
      </w:r>
    </w:p>
    <w:p w14:paraId="5CD43828" w14:textId="77777777" w:rsidR="000F3153" w:rsidRDefault="000F3153" w:rsidP="00B61F93">
      <w:pPr>
        <w:rPr>
          <w:color w:val="000000"/>
        </w:rPr>
      </w:pPr>
    </w:p>
    <w:tbl>
      <w:tblPr>
        <w:tblW w:w="9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5"/>
        <w:gridCol w:w="1252"/>
        <w:gridCol w:w="874"/>
        <w:gridCol w:w="874"/>
        <w:gridCol w:w="874"/>
        <w:gridCol w:w="874"/>
      </w:tblGrid>
      <w:tr w:rsidR="000F3153" w:rsidRPr="00F96665" w14:paraId="67B2C11F" w14:textId="77777777" w:rsidTr="000F3153">
        <w:trPr>
          <w:trHeight w:val="900"/>
          <w:jc w:val="center"/>
        </w:trPr>
        <w:tc>
          <w:tcPr>
            <w:tcW w:w="5215" w:type="dxa"/>
            <w:shd w:val="clear" w:color="000000" w:fill="E7E6E6"/>
            <w:noWrap/>
            <w:vAlign w:val="center"/>
            <w:hideMark/>
          </w:tcPr>
          <w:p w14:paraId="547B37F0" w14:textId="77777777" w:rsidR="000F3153" w:rsidRPr="00F96665" w:rsidRDefault="000F3153" w:rsidP="000F3153">
            <w:pPr>
              <w:jc w:val="center"/>
              <w:rPr>
                <w:color w:val="000000"/>
                <w:sz w:val="22"/>
                <w:szCs w:val="22"/>
              </w:rPr>
            </w:pPr>
            <w:r w:rsidRPr="00F96665">
              <w:rPr>
                <w:color w:val="000000"/>
                <w:sz w:val="22"/>
                <w:szCs w:val="22"/>
              </w:rPr>
              <w:t>DESCRIZIONE</w:t>
            </w:r>
          </w:p>
        </w:tc>
        <w:tc>
          <w:tcPr>
            <w:tcW w:w="1252" w:type="dxa"/>
            <w:shd w:val="clear" w:color="000000" w:fill="E7E6E6"/>
            <w:noWrap/>
            <w:vAlign w:val="center"/>
            <w:hideMark/>
          </w:tcPr>
          <w:p w14:paraId="161DD120" w14:textId="77777777" w:rsidR="000F3153" w:rsidRPr="00F96665" w:rsidRDefault="000F3153" w:rsidP="000F3153">
            <w:pPr>
              <w:jc w:val="center"/>
              <w:rPr>
                <w:color w:val="000000"/>
                <w:sz w:val="22"/>
                <w:szCs w:val="22"/>
              </w:rPr>
            </w:pPr>
            <w:r w:rsidRPr="00F96665">
              <w:rPr>
                <w:color w:val="000000"/>
                <w:sz w:val="22"/>
                <w:szCs w:val="22"/>
              </w:rPr>
              <w:t>SIGLA</w:t>
            </w:r>
          </w:p>
        </w:tc>
        <w:tc>
          <w:tcPr>
            <w:tcW w:w="874" w:type="dxa"/>
            <w:shd w:val="clear" w:color="000000" w:fill="E7E6E6"/>
            <w:vAlign w:val="center"/>
            <w:hideMark/>
          </w:tcPr>
          <w:p w14:paraId="10EC716D" w14:textId="77777777" w:rsidR="000F3153" w:rsidRPr="00F96665" w:rsidRDefault="000F3153" w:rsidP="000F3153">
            <w:pPr>
              <w:jc w:val="center"/>
              <w:rPr>
                <w:color w:val="000000"/>
                <w:sz w:val="22"/>
                <w:szCs w:val="22"/>
              </w:rPr>
            </w:pPr>
            <w:r w:rsidRPr="00F96665">
              <w:rPr>
                <w:color w:val="000000"/>
                <w:sz w:val="22"/>
                <w:szCs w:val="22"/>
              </w:rPr>
              <w:t>2022</w:t>
            </w:r>
          </w:p>
        </w:tc>
        <w:tc>
          <w:tcPr>
            <w:tcW w:w="874" w:type="dxa"/>
            <w:shd w:val="clear" w:color="000000" w:fill="E7E6E6"/>
            <w:vAlign w:val="center"/>
            <w:hideMark/>
          </w:tcPr>
          <w:p w14:paraId="59C809EF" w14:textId="77777777" w:rsidR="000F3153" w:rsidRPr="00F96665" w:rsidRDefault="000F3153" w:rsidP="000F3153">
            <w:pPr>
              <w:jc w:val="center"/>
              <w:rPr>
                <w:color w:val="000000"/>
                <w:sz w:val="22"/>
                <w:szCs w:val="22"/>
              </w:rPr>
            </w:pPr>
            <w:r w:rsidRPr="00F96665">
              <w:rPr>
                <w:color w:val="000000"/>
                <w:sz w:val="22"/>
                <w:szCs w:val="22"/>
              </w:rPr>
              <w:t>202</w:t>
            </w:r>
            <w:r>
              <w:rPr>
                <w:color w:val="000000"/>
                <w:sz w:val="22"/>
                <w:szCs w:val="22"/>
              </w:rPr>
              <w:t>3</w:t>
            </w:r>
          </w:p>
        </w:tc>
        <w:tc>
          <w:tcPr>
            <w:tcW w:w="874" w:type="dxa"/>
            <w:shd w:val="clear" w:color="000000" w:fill="E7E6E6"/>
            <w:vAlign w:val="center"/>
            <w:hideMark/>
          </w:tcPr>
          <w:p w14:paraId="6A31FD86" w14:textId="77777777" w:rsidR="000F3153" w:rsidRPr="00F96665" w:rsidRDefault="000F3153" w:rsidP="000F3153">
            <w:pPr>
              <w:jc w:val="center"/>
              <w:rPr>
                <w:color w:val="000000"/>
                <w:sz w:val="22"/>
                <w:szCs w:val="22"/>
              </w:rPr>
            </w:pPr>
            <w:r w:rsidRPr="00F96665">
              <w:rPr>
                <w:color w:val="000000"/>
                <w:sz w:val="22"/>
                <w:szCs w:val="22"/>
              </w:rPr>
              <w:t>202</w:t>
            </w:r>
            <w:r>
              <w:rPr>
                <w:color w:val="000000"/>
                <w:sz w:val="22"/>
                <w:szCs w:val="22"/>
              </w:rPr>
              <w:t>4</w:t>
            </w:r>
          </w:p>
        </w:tc>
        <w:tc>
          <w:tcPr>
            <w:tcW w:w="874" w:type="dxa"/>
            <w:shd w:val="clear" w:color="000000" w:fill="E7E6E6"/>
            <w:vAlign w:val="center"/>
            <w:hideMark/>
          </w:tcPr>
          <w:p w14:paraId="1AD7E682" w14:textId="77777777" w:rsidR="000F3153" w:rsidRPr="00F96665" w:rsidRDefault="000F3153" w:rsidP="000F3153">
            <w:pPr>
              <w:jc w:val="center"/>
              <w:rPr>
                <w:color w:val="000000"/>
                <w:sz w:val="22"/>
                <w:szCs w:val="22"/>
              </w:rPr>
            </w:pPr>
            <w:r w:rsidRPr="00F96665">
              <w:rPr>
                <w:color w:val="000000"/>
                <w:sz w:val="22"/>
                <w:szCs w:val="22"/>
              </w:rPr>
              <w:t>202</w:t>
            </w:r>
            <w:r>
              <w:rPr>
                <w:color w:val="000000"/>
                <w:sz w:val="22"/>
                <w:szCs w:val="22"/>
              </w:rPr>
              <w:t>5</w:t>
            </w:r>
          </w:p>
        </w:tc>
      </w:tr>
      <w:tr w:rsidR="000F3153" w:rsidRPr="00F96665" w14:paraId="01BE5ED7" w14:textId="77777777" w:rsidTr="000F3153">
        <w:trPr>
          <w:trHeight w:val="300"/>
          <w:jc w:val="center"/>
        </w:trPr>
        <w:tc>
          <w:tcPr>
            <w:tcW w:w="5215" w:type="dxa"/>
            <w:shd w:val="clear" w:color="000000" w:fill="FFFFFF"/>
            <w:noWrap/>
            <w:vAlign w:val="center"/>
            <w:hideMark/>
          </w:tcPr>
          <w:p w14:paraId="4FA7AF6E" w14:textId="77777777" w:rsidR="000F3153" w:rsidRPr="00F96665" w:rsidRDefault="000F3153" w:rsidP="000F3153">
            <w:pPr>
              <w:jc w:val="center"/>
              <w:rPr>
                <w:color w:val="000000"/>
                <w:sz w:val="22"/>
                <w:szCs w:val="22"/>
              </w:rPr>
            </w:pPr>
            <w:r>
              <w:rPr>
                <w:color w:val="000000"/>
                <w:sz w:val="22"/>
                <w:szCs w:val="22"/>
              </w:rPr>
              <w:t>C</w:t>
            </w:r>
            <w:r w:rsidRPr="000F3153">
              <w:rPr>
                <w:color w:val="000000"/>
                <w:sz w:val="22"/>
                <w:szCs w:val="22"/>
              </w:rPr>
              <w:t>oefficiente per il miglioramento previsto della qualità e delle caratteristiche delle prestazioni erogate agli utenti</w:t>
            </w:r>
          </w:p>
        </w:tc>
        <w:tc>
          <w:tcPr>
            <w:tcW w:w="1252" w:type="dxa"/>
            <w:shd w:val="clear" w:color="000000" w:fill="FFFFFF"/>
            <w:noWrap/>
            <w:vAlign w:val="center"/>
            <w:hideMark/>
          </w:tcPr>
          <w:p w14:paraId="6F0201C0" w14:textId="77777777" w:rsidR="000F3153" w:rsidRPr="00F96665" w:rsidRDefault="000F3153" w:rsidP="000F3153">
            <w:pPr>
              <w:jc w:val="center"/>
              <w:rPr>
                <w:b/>
                <w:bCs/>
                <w:i/>
                <w:iCs/>
                <w:color w:val="000000"/>
                <w:sz w:val="22"/>
                <w:szCs w:val="22"/>
              </w:rPr>
            </w:pPr>
            <w:r>
              <w:rPr>
                <w:b/>
                <w:bCs/>
                <w:i/>
                <w:iCs/>
                <w:color w:val="000000"/>
                <w:sz w:val="22"/>
                <w:szCs w:val="22"/>
              </w:rPr>
              <w:t>QL</w:t>
            </w:r>
          </w:p>
        </w:tc>
        <w:tc>
          <w:tcPr>
            <w:tcW w:w="874" w:type="dxa"/>
            <w:shd w:val="clear" w:color="auto" w:fill="auto"/>
            <w:noWrap/>
            <w:vAlign w:val="center"/>
            <w:hideMark/>
          </w:tcPr>
          <w:p w14:paraId="3B0A0714" w14:textId="46A05639" w:rsidR="000F3153" w:rsidRPr="00F96665" w:rsidRDefault="00286701" w:rsidP="000F3153">
            <w:pPr>
              <w:jc w:val="center"/>
              <w:rPr>
                <w:color w:val="000000"/>
                <w:sz w:val="22"/>
                <w:szCs w:val="22"/>
              </w:rPr>
            </w:pPr>
            <w:r>
              <w:rPr>
                <w:color w:val="000000"/>
                <w:sz w:val="22"/>
                <w:szCs w:val="22"/>
              </w:rPr>
              <w:t>-</w:t>
            </w:r>
          </w:p>
        </w:tc>
        <w:tc>
          <w:tcPr>
            <w:tcW w:w="874" w:type="dxa"/>
            <w:shd w:val="clear" w:color="auto" w:fill="auto"/>
            <w:noWrap/>
            <w:vAlign w:val="center"/>
            <w:hideMark/>
          </w:tcPr>
          <w:p w14:paraId="0ABE6C80" w14:textId="1EDE06FA" w:rsidR="000F3153" w:rsidRPr="00F96665" w:rsidRDefault="00286701" w:rsidP="000F3153">
            <w:pPr>
              <w:jc w:val="center"/>
              <w:rPr>
                <w:color w:val="000000"/>
                <w:sz w:val="22"/>
                <w:szCs w:val="22"/>
              </w:rPr>
            </w:pPr>
            <w:r>
              <w:rPr>
                <w:color w:val="000000"/>
                <w:sz w:val="22"/>
                <w:szCs w:val="22"/>
              </w:rPr>
              <w:t>-</w:t>
            </w:r>
          </w:p>
        </w:tc>
        <w:tc>
          <w:tcPr>
            <w:tcW w:w="874" w:type="dxa"/>
            <w:shd w:val="clear" w:color="auto" w:fill="auto"/>
            <w:noWrap/>
            <w:vAlign w:val="center"/>
            <w:hideMark/>
          </w:tcPr>
          <w:p w14:paraId="465522FF" w14:textId="5323B259" w:rsidR="000F3153" w:rsidRPr="00F96665" w:rsidRDefault="00274379" w:rsidP="000F3153">
            <w:pPr>
              <w:jc w:val="center"/>
              <w:rPr>
                <w:color w:val="000000"/>
                <w:sz w:val="22"/>
                <w:szCs w:val="22"/>
              </w:rPr>
            </w:pPr>
            <w:r>
              <w:rPr>
                <w:color w:val="000000"/>
                <w:sz w:val="22"/>
                <w:szCs w:val="22"/>
              </w:rPr>
              <w:t>0,</w:t>
            </w:r>
            <w:r w:rsidR="00286701">
              <w:rPr>
                <w:color w:val="000000"/>
                <w:sz w:val="22"/>
                <w:szCs w:val="22"/>
              </w:rPr>
              <w:t>6</w:t>
            </w:r>
            <w:r>
              <w:rPr>
                <w:color w:val="000000"/>
                <w:sz w:val="22"/>
                <w:szCs w:val="22"/>
              </w:rPr>
              <w:t>5%</w:t>
            </w:r>
          </w:p>
        </w:tc>
        <w:tc>
          <w:tcPr>
            <w:tcW w:w="874" w:type="dxa"/>
            <w:shd w:val="clear" w:color="auto" w:fill="auto"/>
            <w:noWrap/>
            <w:vAlign w:val="center"/>
            <w:hideMark/>
          </w:tcPr>
          <w:p w14:paraId="4B2C68D4" w14:textId="13C639D0" w:rsidR="000F3153" w:rsidRPr="00F96665" w:rsidRDefault="00286701" w:rsidP="000F3153">
            <w:pPr>
              <w:jc w:val="center"/>
              <w:rPr>
                <w:color w:val="000000"/>
                <w:sz w:val="22"/>
                <w:szCs w:val="22"/>
              </w:rPr>
            </w:pPr>
            <w:r>
              <w:rPr>
                <w:color w:val="000000"/>
                <w:sz w:val="22"/>
                <w:szCs w:val="22"/>
              </w:rPr>
              <w:t>-</w:t>
            </w:r>
            <w:r w:rsidR="00274379">
              <w:rPr>
                <w:color w:val="000000"/>
                <w:sz w:val="22"/>
                <w:szCs w:val="22"/>
              </w:rPr>
              <w:t>%</w:t>
            </w:r>
          </w:p>
        </w:tc>
      </w:tr>
    </w:tbl>
    <w:p w14:paraId="7F491F11" w14:textId="77777777" w:rsidR="000F3153" w:rsidRDefault="000F3153" w:rsidP="00B61F93">
      <w:pPr>
        <w:rPr>
          <w:color w:val="000000"/>
        </w:rPr>
      </w:pPr>
    </w:p>
    <w:p w14:paraId="7268F15D" w14:textId="5749705F" w:rsidR="003973BC" w:rsidRDefault="00274379" w:rsidP="00274379">
      <w:pPr>
        <w:rPr>
          <w:color w:val="000000"/>
        </w:rPr>
      </w:pPr>
      <w:r>
        <w:rPr>
          <w:color w:val="000000"/>
        </w:rPr>
        <w:t>I</w:t>
      </w:r>
      <w:r w:rsidR="00B3723B" w:rsidRPr="00BC5306">
        <w:rPr>
          <w:color w:val="000000"/>
        </w:rPr>
        <w:t xml:space="preserve">l coefficiente C116 </w:t>
      </w:r>
      <w:r w:rsidR="003973BC">
        <w:rPr>
          <w:color w:val="000000"/>
        </w:rPr>
        <w:t xml:space="preserve">non </w:t>
      </w:r>
      <w:r>
        <w:rPr>
          <w:color w:val="000000"/>
        </w:rPr>
        <w:t>è</w:t>
      </w:r>
      <w:r w:rsidRPr="00BC5306">
        <w:rPr>
          <w:color w:val="000000"/>
        </w:rPr>
        <w:t xml:space="preserve"> stat</w:t>
      </w:r>
      <w:r>
        <w:rPr>
          <w:color w:val="000000"/>
        </w:rPr>
        <w:t>o</w:t>
      </w:r>
      <w:r w:rsidRPr="00BC5306">
        <w:rPr>
          <w:color w:val="000000"/>
        </w:rPr>
        <w:t xml:space="preserve"> valorizzat</w:t>
      </w:r>
      <w:r>
        <w:rPr>
          <w:color w:val="000000"/>
        </w:rPr>
        <w:t xml:space="preserve">o </w:t>
      </w:r>
      <w:r w:rsidR="003973BC">
        <w:rPr>
          <w:color w:val="000000"/>
        </w:rPr>
        <w:t>a seguito</w:t>
      </w:r>
      <w:r>
        <w:rPr>
          <w:color w:val="000000"/>
        </w:rPr>
        <w:t xml:space="preserve"> </w:t>
      </w:r>
      <w:r w:rsidR="003973BC">
        <w:rPr>
          <w:color w:val="000000"/>
        </w:rPr>
        <w:t>di un</w:t>
      </w:r>
      <w:r>
        <w:rPr>
          <w:color w:val="000000"/>
        </w:rPr>
        <w:t xml:space="preserve"> modesto aumento dei costi del servizio determinato dalla perdita attesa dei proventi di cessione della carta. </w:t>
      </w:r>
      <w:r w:rsidR="003973BC">
        <w:rPr>
          <w:color w:val="000000"/>
        </w:rPr>
        <w:t>Il Comune terrà monitorato tale aspetto ed eventualmente sarà inserito nella revisione biennale del PEF.</w:t>
      </w:r>
    </w:p>
    <w:p w14:paraId="3768D2A4" w14:textId="6988F8F2" w:rsidR="003973BC" w:rsidRDefault="003973BC" w:rsidP="00274379">
      <w:pPr>
        <w:rPr>
          <w:color w:val="000000"/>
        </w:rPr>
      </w:pPr>
    </w:p>
    <w:p w14:paraId="46C34171" w14:textId="4BB26A9C" w:rsidR="00635B94" w:rsidRDefault="00635B94" w:rsidP="00274379">
      <w:pPr>
        <w:rPr>
          <w:color w:val="000000"/>
        </w:rPr>
      </w:pPr>
    </w:p>
    <w:p w14:paraId="16B0C55B" w14:textId="77777777" w:rsidR="00635B94" w:rsidRDefault="00635B94" w:rsidP="00274379">
      <w:pPr>
        <w:rPr>
          <w:color w:val="000000"/>
        </w:rPr>
      </w:pPr>
    </w:p>
    <w:p w14:paraId="3339BB87" w14:textId="05824A4C" w:rsidR="00274379" w:rsidRDefault="00274379" w:rsidP="00274379">
      <w:pPr>
        <w:rPr>
          <w:color w:val="000000"/>
        </w:rPr>
      </w:pPr>
      <w:r>
        <w:rPr>
          <w:color w:val="000000"/>
        </w:rPr>
        <w:t>La stringa dei C116 previsti nell’arco 2022-2025 è dunque:</w:t>
      </w:r>
    </w:p>
    <w:p w14:paraId="48DBE742" w14:textId="77777777" w:rsidR="00806DFC" w:rsidRDefault="00806DFC" w:rsidP="00CC09E4">
      <w:pPr>
        <w:rPr>
          <w:highlight w:val="yellow"/>
        </w:rPr>
      </w:pPr>
    </w:p>
    <w:tbl>
      <w:tblPr>
        <w:tblW w:w="9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5"/>
        <w:gridCol w:w="1252"/>
        <w:gridCol w:w="874"/>
        <w:gridCol w:w="874"/>
        <w:gridCol w:w="874"/>
        <w:gridCol w:w="874"/>
      </w:tblGrid>
      <w:tr w:rsidR="00274379" w:rsidRPr="00F96665" w14:paraId="5ACB3451" w14:textId="77777777" w:rsidTr="004251A3">
        <w:trPr>
          <w:trHeight w:val="900"/>
          <w:jc w:val="center"/>
        </w:trPr>
        <w:tc>
          <w:tcPr>
            <w:tcW w:w="5215" w:type="dxa"/>
            <w:shd w:val="clear" w:color="000000" w:fill="E7E6E6"/>
            <w:noWrap/>
            <w:vAlign w:val="center"/>
            <w:hideMark/>
          </w:tcPr>
          <w:p w14:paraId="3743B82D" w14:textId="77777777" w:rsidR="00274379" w:rsidRPr="00F96665" w:rsidRDefault="00274379" w:rsidP="004251A3">
            <w:pPr>
              <w:jc w:val="center"/>
              <w:rPr>
                <w:color w:val="000000"/>
                <w:sz w:val="22"/>
                <w:szCs w:val="22"/>
              </w:rPr>
            </w:pPr>
            <w:r w:rsidRPr="00F96665">
              <w:rPr>
                <w:color w:val="000000"/>
                <w:sz w:val="22"/>
                <w:szCs w:val="22"/>
              </w:rPr>
              <w:t>DESCRIZIONE</w:t>
            </w:r>
          </w:p>
        </w:tc>
        <w:tc>
          <w:tcPr>
            <w:tcW w:w="1252" w:type="dxa"/>
            <w:shd w:val="clear" w:color="000000" w:fill="E7E6E6"/>
            <w:noWrap/>
            <w:vAlign w:val="center"/>
            <w:hideMark/>
          </w:tcPr>
          <w:p w14:paraId="3BFD7116" w14:textId="77777777" w:rsidR="00274379" w:rsidRPr="00F96665" w:rsidRDefault="00274379" w:rsidP="004251A3">
            <w:pPr>
              <w:jc w:val="center"/>
              <w:rPr>
                <w:color w:val="000000"/>
                <w:sz w:val="22"/>
                <w:szCs w:val="22"/>
              </w:rPr>
            </w:pPr>
            <w:r w:rsidRPr="00F96665">
              <w:rPr>
                <w:color w:val="000000"/>
                <w:sz w:val="22"/>
                <w:szCs w:val="22"/>
              </w:rPr>
              <w:t>SIGLA</w:t>
            </w:r>
          </w:p>
        </w:tc>
        <w:tc>
          <w:tcPr>
            <w:tcW w:w="874" w:type="dxa"/>
            <w:shd w:val="clear" w:color="000000" w:fill="E7E6E6"/>
            <w:vAlign w:val="center"/>
            <w:hideMark/>
          </w:tcPr>
          <w:p w14:paraId="04E83190" w14:textId="77777777" w:rsidR="00274379" w:rsidRPr="00F96665" w:rsidRDefault="00274379" w:rsidP="004251A3">
            <w:pPr>
              <w:jc w:val="center"/>
              <w:rPr>
                <w:color w:val="000000"/>
                <w:sz w:val="22"/>
                <w:szCs w:val="22"/>
              </w:rPr>
            </w:pPr>
            <w:r w:rsidRPr="00F96665">
              <w:rPr>
                <w:color w:val="000000"/>
                <w:sz w:val="22"/>
                <w:szCs w:val="22"/>
              </w:rPr>
              <w:t>2022</w:t>
            </w:r>
          </w:p>
        </w:tc>
        <w:tc>
          <w:tcPr>
            <w:tcW w:w="874" w:type="dxa"/>
            <w:shd w:val="clear" w:color="000000" w:fill="E7E6E6"/>
            <w:vAlign w:val="center"/>
            <w:hideMark/>
          </w:tcPr>
          <w:p w14:paraId="5AC2093F" w14:textId="77777777" w:rsidR="00274379" w:rsidRPr="00F96665" w:rsidRDefault="00274379" w:rsidP="004251A3">
            <w:pPr>
              <w:jc w:val="center"/>
              <w:rPr>
                <w:color w:val="000000"/>
                <w:sz w:val="22"/>
                <w:szCs w:val="22"/>
              </w:rPr>
            </w:pPr>
            <w:r w:rsidRPr="00F96665">
              <w:rPr>
                <w:color w:val="000000"/>
                <w:sz w:val="22"/>
                <w:szCs w:val="22"/>
              </w:rPr>
              <w:t>202</w:t>
            </w:r>
            <w:r>
              <w:rPr>
                <w:color w:val="000000"/>
                <w:sz w:val="22"/>
                <w:szCs w:val="22"/>
              </w:rPr>
              <w:t>3</w:t>
            </w:r>
          </w:p>
        </w:tc>
        <w:tc>
          <w:tcPr>
            <w:tcW w:w="874" w:type="dxa"/>
            <w:shd w:val="clear" w:color="000000" w:fill="E7E6E6"/>
            <w:vAlign w:val="center"/>
            <w:hideMark/>
          </w:tcPr>
          <w:p w14:paraId="60E9AEF8" w14:textId="77777777" w:rsidR="00274379" w:rsidRPr="00F96665" w:rsidRDefault="00274379" w:rsidP="004251A3">
            <w:pPr>
              <w:jc w:val="center"/>
              <w:rPr>
                <w:color w:val="000000"/>
                <w:sz w:val="22"/>
                <w:szCs w:val="22"/>
              </w:rPr>
            </w:pPr>
            <w:r w:rsidRPr="00F96665">
              <w:rPr>
                <w:color w:val="000000"/>
                <w:sz w:val="22"/>
                <w:szCs w:val="22"/>
              </w:rPr>
              <w:t>202</w:t>
            </w:r>
            <w:r>
              <w:rPr>
                <w:color w:val="000000"/>
                <w:sz w:val="22"/>
                <w:szCs w:val="22"/>
              </w:rPr>
              <w:t>4</w:t>
            </w:r>
          </w:p>
        </w:tc>
        <w:tc>
          <w:tcPr>
            <w:tcW w:w="874" w:type="dxa"/>
            <w:shd w:val="clear" w:color="000000" w:fill="E7E6E6"/>
            <w:vAlign w:val="center"/>
            <w:hideMark/>
          </w:tcPr>
          <w:p w14:paraId="7FEA4E4F" w14:textId="77777777" w:rsidR="00274379" w:rsidRPr="00F96665" w:rsidRDefault="00274379" w:rsidP="004251A3">
            <w:pPr>
              <w:jc w:val="center"/>
              <w:rPr>
                <w:color w:val="000000"/>
                <w:sz w:val="22"/>
                <w:szCs w:val="22"/>
              </w:rPr>
            </w:pPr>
            <w:r w:rsidRPr="00F96665">
              <w:rPr>
                <w:color w:val="000000"/>
                <w:sz w:val="22"/>
                <w:szCs w:val="22"/>
              </w:rPr>
              <w:t>202</w:t>
            </w:r>
            <w:r>
              <w:rPr>
                <w:color w:val="000000"/>
                <w:sz w:val="22"/>
                <w:szCs w:val="22"/>
              </w:rPr>
              <w:t>5</w:t>
            </w:r>
          </w:p>
        </w:tc>
      </w:tr>
      <w:tr w:rsidR="00286701" w:rsidRPr="00F96665" w14:paraId="6F2F850C" w14:textId="77777777" w:rsidTr="004251A3">
        <w:trPr>
          <w:trHeight w:val="300"/>
          <w:jc w:val="center"/>
        </w:trPr>
        <w:tc>
          <w:tcPr>
            <w:tcW w:w="5215" w:type="dxa"/>
            <w:shd w:val="clear" w:color="000000" w:fill="FFFFFF"/>
            <w:noWrap/>
            <w:vAlign w:val="center"/>
            <w:hideMark/>
          </w:tcPr>
          <w:p w14:paraId="40A2FEF0" w14:textId="77777777" w:rsidR="00286701" w:rsidRPr="00F96665" w:rsidRDefault="00286701" w:rsidP="00286701">
            <w:pPr>
              <w:jc w:val="center"/>
              <w:rPr>
                <w:color w:val="000000"/>
                <w:sz w:val="22"/>
                <w:szCs w:val="22"/>
              </w:rPr>
            </w:pPr>
            <w:r>
              <w:rPr>
                <w:color w:val="000000"/>
                <w:sz w:val="22"/>
                <w:szCs w:val="22"/>
              </w:rPr>
              <w:t>C</w:t>
            </w:r>
            <w:r w:rsidRPr="000F3153">
              <w:rPr>
                <w:color w:val="000000"/>
                <w:sz w:val="22"/>
                <w:szCs w:val="22"/>
              </w:rPr>
              <w:t xml:space="preserve">oefficiente per </w:t>
            </w:r>
            <w:r>
              <w:rPr>
                <w:color w:val="000000"/>
                <w:sz w:val="22"/>
                <w:szCs w:val="22"/>
              </w:rPr>
              <w:t xml:space="preserve">gli </w:t>
            </w:r>
            <w:r w:rsidRPr="002D4174">
              <w:rPr>
                <w:color w:val="000000"/>
                <w:sz w:val="22"/>
                <w:szCs w:val="22"/>
              </w:rPr>
              <w:t xml:space="preserve">scostamenti attesi riconducibili alle novità normative introdotte dal </w:t>
            </w:r>
            <w:r>
              <w:rPr>
                <w:color w:val="000000"/>
                <w:sz w:val="22"/>
                <w:szCs w:val="22"/>
              </w:rPr>
              <w:t>D.Lgs.</w:t>
            </w:r>
            <w:r w:rsidRPr="002D4174">
              <w:rPr>
                <w:color w:val="000000"/>
                <w:sz w:val="22"/>
                <w:szCs w:val="22"/>
              </w:rPr>
              <w:t xml:space="preserve"> n. 116/20</w:t>
            </w:r>
          </w:p>
        </w:tc>
        <w:tc>
          <w:tcPr>
            <w:tcW w:w="1252" w:type="dxa"/>
            <w:shd w:val="clear" w:color="000000" w:fill="FFFFFF"/>
            <w:noWrap/>
            <w:vAlign w:val="center"/>
            <w:hideMark/>
          </w:tcPr>
          <w:p w14:paraId="481B0C29" w14:textId="77777777" w:rsidR="00286701" w:rsidRPr="00F96665" w:rsidRDefault="00286701" w:rsidP="00286701">
            <w:pPr>
              <w:jc w:val="center"/>
              <w:rPr>
                <w:b/>
                <w:bCs/>
                <w:i/>
                <w:iCs/>
                <w:color w:val="000000"/>
                <w:sz w:val="22"/>
                <w:szCs w:val="22"/>
              </w:rPr>
            </w:pPr>
            <w:r>
              <w:rPr>
                <w:b/>
                <w:bCs/>
                <w:i/>
                <w:iCs/>
                <w:color w:val="000000"/>
                <w:sz w:val="22"/>
                <w:szCs w:val="22"/>
              </w:rPr>
              <w:t>C</w:t>
            </w:r>
            <w:r w:rsidRPr="00274379">
              <w:rPr>
                <w:b/>
                <w:bCs/>
                <w:i/>
                <w:iCs/>
                <w:color w:val="000000"/>
                <w:sz w:val="22"/>
                <w:szCs w:val="22"/>
                <w:vertAlign w:val="subscript"/>
              </w:rPr>
              <w:t>116</w:t>
            </w:r>
          </w:p>
        </w:tc>
        <w:tc>
          <w:tcPr>
            <w:tcW w:w="874" w:type="dxa"/>
            <w:shd w:val="clear" w:color="auto" w:fill="auto"/>
            <w:noWrap/>
            <w:vAlign w:val="center"/>
            <w:hideMark/>
          </w:tcPr>
          <w:p w14:paraId="50AE6BF7" w14:textId="0B8286C8" w:rsidR="00286701" w:rsidRPr="00F96665" w:rsidRDefault="00286701" w:rsidP="00286701">
            <w:pPr>
              <w:jc w:val="center"/>
              <w:rPr>
                <w:color w:val="000000"/>
                <w:sz w:val="22"/>
                <w:szCs w:val="22"/>
              </w:rPr>
            </w:pPr>
            <w:r>
              <w:rPr>
                <w:color w:val="000000"/>
                <w:sz w:val="22"/>
                <w:szCs w:val="22"/>
              </w:rPr>
              <w:t>-</w:t>
            </w:r>
          </w:p>
        </w:tc>
        <w:tc>
          <w:tcPr>
            <w:tcW w:w="874" w:type="dxa"/>
            <w:shd w:val="clear" w:color="auto" w:fill="auto"/>
            <w:noWrap/>
            <w:vAlign w:val="center"/>
            <w:hideMark/>
          </w:tcPr>
          <w:p w14:paraId="4E70D239" w14:textId="2D5BB4DB" w:rsidR="00286701" w:rsidRPr="00F96665" w:rsidRDefault="00286701" w:rsidP="00286701">
            <w:pPr>
              <w:jc w:val="center"/>
              <w:rPr>
                <w:color w:val="000000"/>
                <w:sz w:val="22"/>
                <w:szCs w:val="22"/>
              </w:rPr>
            </w:pPr>
            <w:r>
              <w:rPr>
                <w:color w:val="000000"/>
                <w:sz w:val="22"/>
                <w:szCs w:val="22"/>
              </w:rPr>
              <w:t>-</w:t>
            </w:r>
          </w:p>
        </w:tc>
        <w:tc>
          <w:tcPr>
            <w:tcW w:w="874" w:type="dxa"/>
            <w:shd w:val="clear" w:color="auto" w:fill="auto"/>
            <w:noWrap/>
            <w:vAlign w:val="center"/>
            <w:hideMark/>
          </w:tcPr>
          <w:p w14:paraId="593DB956" w14:textId="5CC06755" w:rsidR="00286701" w:rsidRPr="00F96665" w:rsidRDefault="00286701" w:rsidP="00286701">
            <w:pPr>
              <w:jc w:val="center"/>
              <w:rPr>
                <w:color w:val="000000"/>
                <w:sz w:val="22"/>
                <w:szCs w:val="22"/>
              </w:rPr>
            </w:pPr>
            <w:r>
              <w:rPr>
                <w:color w:val="000000"/>
                <w:sz w:val="22"/>
                <w:szCs w:val="22"/>
              </w:rPr>
              <w:t>-</w:t>
            </w:r>
          </w:p>
        </w:tc>
        <w:tc>
          <w:tcPr>
            <w:tcW w:w="874" w:type="dxa"/>
            <w:shd w:val="clear" w:color="auto" w:fill="auto"/>
            <w:noWrap/>
            <w:vAlign w:val="center"/>
            <w:hideMark/>
          </w:tcPr>
          <w:p w14:paraId="2FFBEFE9" w14:textId="794F3071" w:rsidR="00286701" w:rsidRPr="00F96665" w:rsidRDefault="00286701" w:rsidP="00286701">
            <w:pPr>
              <w:jc w:val="center"/>
              <w:rPr>
                <w:color w:val="000000"/>
                <w:sz w:val="22"/>
                <w:szCs w:val="22"/>
              </w:rPr>
            </w:pPr>
            <w:r>
              <w:rPr>
                <w:color w:val="000000"/>
                <w:sz w:val="22"/>
                <w:szCs w:val="22"/>
              </w:rPr>
              <w:t>-</w:t>
            </w:r>
          </w:p>
        </w:tc>
      </w:tr>
    </w:tbl>
    <w:p w14:paraId="0D102189" w14:textId="77777777" w:rsidR="00274379" w:rsidRDefault="00274379" w:rsidP="00CC09E4">
      <w:pPr>
        <w:rPr>
          <w:highlight w:val="yellow"/>
        </w:rPr>
      </w:pPr>
    </w:p>
    <w:bookmarkEnd w:id="18"/>
    <w:p w14:paraId="3EE34821" w14:textId="77777777" w:rsidR="005E506A" w:rsidRPr="00773DFA" w:rsidRDefault="005E506A" w:rsidP="00FF6A01">
      <w:pPr>
        <w:pStyle w:val="Corpotesto"/>
        <w:rPr>
          <w:lang w:val="it-IT"/>
        </w:rPr>
      </w:pPr>
    </w:p>
    <w:p w14:paraId="3052FF25" w14:textId="77777777" w:rsidR="00FF6A01" w:rsidRPr="00773DFA" w:rsidRDefault="00FC3013" w:rsidP="00F613AA">
      <w:pPr>
        <w:pStyle w:val="Titolo3"/>
      </w:pPr>
      <w:bookmarkStart w:id="19" w:name="_Toc92569717"/>
      <w:r w:rsidRPr="00773DFA">
        <w:t>Fonti di finanziamento</w:t>
      </w:r>
      <w:bookmarkEnd w:id="19"/>
    </w:p>
    <w:p w14:paraId="7B12EA28" w14:textId="4B65A728" w:rsidR="00FF6A01" w:rsidRPr="00BC5306" w:rsidRDefault="00221BC2" w:rsidP="007641FF">
      <w:r w:rsidRPr="00221BC2">
        <w:t xml:space="preserve">Aprica S.p.A. è gestita nella tesoreria centralizzata del gruppo A2A. Pertanto i finanziamenti alla stessa vengo </w:t>
      </w:r>
      <w:r w:rsidRPr="00BC5306">
        <w:t>erogati direttamente dalla controllante A2A S.p.A. Non vi sono pertanto fonti di finanziamento dirette verso terzi.</w:t>
      </w:r>
    </w:p>
    <w:p w14:paraId="1FADF7D2" w14:textId="77777777" w:rsidR="007641FF" w:rsidRPr="00BC5306" w:rsidRDefault="007641FF" w:rsidP="007641FF">
      <w:pPr>
        <w:rPr>
          <w:lang w:eastAsia="en-GB"/>
        </w:rPr>
      </w:pPr>
    </w:p>
    <w:p w14:paraId="7008ED5B" w14:textId="77777777" w:rsidR="001A2E02" w:rsidRPr="00BC5306" w:rsidRDefault="00121014" w:rsidP="00C33520">
      <w:pPr>
        <w:pStyle w:val="Titolo2"/>
      </w:pPr>
      <w:bookmarkStart w:id="20" w:name="_Toc92569718"/>
      <w:r w:rsidRPr="00BC5306">
        <w:t>Dati per la determinazione delle entrate di riferimento</w:t>
      </w:r>
      <w:bookmarkEnd w:id="20"/>
    </w:p>
    <w:p w14:paraId="47A0D74B" w14:textId="1740CC9D" w:rsidR="00EF2D6E" w:rsidRDefault="00806DFC" w:rsidP="00EF2D6E">
      <w:pPr>
        <w:rPr>
          <w:lang w:eastAsia="en-GB"/>
        </w:rPr>
      </w:pPr>
      <w:r w:rsidRPr="00BC5306">
        <w:rPr>
          <w:color w:val="000000"/>
          <w:spacing w:val="-3"/>
        </w:rPr>
        <w:t>Il PEF redatto in conformità al modello di cui alla determina 2/DRIF/2021 sintetizza tutte le informazioni e i dati rilevanti per la determinazione delle entrate tariffarie relative all’ambito tariffario</w:t>
      </w:r>
      <w:r w:rsidRPr="00A92411">
        <w:rPr>
          <w:color w:val="000000"/>
          <w:spacing w:val="-3"/>
        </w:rPr>
        <w:t xml:space="preserve"> e a ciascuno degli anni del periodo regolatorio 2022-2025, in coerenza con i criteri disposti dal MTR-2.</w:t>
      </w:r>
      <w:r w:rsidR="003973BC">
        <w:rPr>
          <w:color w:val="000000"/>
          <w:spacing w:val="-3"/>
        </w:rPr>
        <w:t xml:space="preserve"> </w:t>
      </w:r>
      <w:r w:rsidR="002F160E" w:rsidRPr="00A92411">
        <w:rPr>
          <w:lang w:eastAsia="en-GB"/>
        </w:rPr>
        <w:t>Nel prospetto seguente si riportano i saldi delle voci del PEF 2022-2025 di competenza del gestore, calcolate secondo quanto descritto ai paragrafi seguenti.</w:t>
      </w:r>
    </w:p>
    <w:p w14:paraId="00702F04" w14:textId="77777777" w:rsidR="00B3723B" w:rsidRDefault="00B3723B" w:rsidP="00EF2D6E">
      <w:pPr>
        <w:rPr>
          <w:lang w:eastAsia="en-GB"/>
        </w:rPr>
      </w:pPr>
    </w:p>
    <w:tbl>
      <w:tblPr>
        <w:tblW w:w="9489" w:type="dxa"/>
        <w:jc w:val="center"/>
        <w:tblCellMar>
          <w:left w:w="70" w:type="dxa"/>
          <w:right w:w="70" w:type="dxa"/>
        </w:tblCellMar>
        <w:tblLook w:val="04A0" w:firstRow="1" w:lastRow="0" w:firstColumn="1" w:lastColumn="0" w:noHBand="0" w:noVBand="1"/>
      </w:tblPr>
      <w:tblGrid>
        <w:gridCol w:w="3681"/>
        <w:gridCol w:w="1276"/>
        <w:gridCol w:w="1134"/>
        <w:gridCol w:w="1134"/>
        <w:gridCol w:w="1134"/>
        <w:gridCol w:w="1130"/>
      </w:tblGrid>
      <w:tr w:rsidR="00631E9C" w:rsidRPr="00631E9C" w14:paraId="260928A2" w14:textId="77777777" w:rsidTr="00C8557D">
        <w:trPr>
          <w:trHeight w:val="547"/>
          <w:jc w:val="center"/>
        </w:trPr>
        <w:tc>
          <w:tcPr>
            <w:tcW w:w="9489" w:type="dxa"/>
            <w:gridSpan w:val="6"/>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AC86CF7" w14:textId="77777777" w:rsidR="00631E9C" w:rsidRPr="00631E9C" w:rsidRDefault="00631E9C" w:rsidP="00631E9C">
            <w:pPr>
              <w:jc w:val="center"/>
              <w:rPr>
                <w:color w:val="000000"/>
                <w:sz w:val="22"/>
                <w:szCs w:val="22"/>
              </w:rPr>
            </w:pPr>
            <w:r w:rsidRPr="00631E9C">
              <w:rPr>
                <w:color w:val="000000"/>
                <w:sz w:val="22"/>
                <w:szCs w:val="22"/>
              </w:rPr>
              <w:lastRenderedPageBreak/>
              <w:t xml:space="preserve">SALDI PER PEF 2022-2025 - COMPETENZA </w:t>
            </w:r>
            <w:r>
              <w:rPr>
                <w:color w:val="000000"/>
                <w:sz w:val="22"/>
                <w:szCs w:val="22"/>
              </w:rPr>
              <w:t>APRICA S.p.A.</w:t>
            </w:r>
          </w:p>
        </w:tc>
      </w:tr>
      <w:tr w:rsidR="00631E9C" w:rsidRPr="00631E9C" w14:paraId="6FAA01EA" w14:textId="77777777" w:rsidTr="00C8557D">
        <w:trPr>
          <w:trHeight w:val="552"/>
          <w:jc w:val="center"/>
        </w:trPr>
        <w:tc>
          <w:tcPr>
            <w:tcW w:w="3681" w:type="dxa"/>
            <w:tcBorders>
              <w:top w:val="nil"/>
              <w:left w:val="single" w:sz="4" w:space="0" w:color="auto"/>
              <w:bottom w:val="single" w:sz="4" w:space="0" w:color="auto"/>
              <w:right w:val="single" w:sz="4" w:space="0" w:color="auto"/>
            </w:tcBorders>
            <w:shd w:val="clear" w:color="000000" w:fill="E7E6E6"/>
            <w:noWrap/>
            <w:vAlign w:val="center"/>
            <w:hideMark/>
          </w:tcPr>
          <w:p w14:paraId="48689941" w14:textId="77777777" w:rsidR="00631E9C" w:rsidRPr="00631E9C" w:rsidRDefault="00631E9C" w:rsidP="00631E9C">
            <w:pPr>
              <w:jc w:val="center"/>
              <w:rPr>
                <w:color w:val="000000"/>
                <w:sz w:val="22"/>
                <w:szCs w:val="22"/>
              </w:rPr>
            </w:pPr>
            <w:r w:rsidRPr="00631E9C">
              <w:rPr>
                <w:color w:val="000000"/>
                <w:sz w:val="22"/>
                <w:szCs w:val="22"/>
              </w:rPr>
              <w:t>DESCRIZIONE</w:t>
            </w:r>
          </w:p>
        </w:tc>
        <w:tc>
          <w:tcPr>
            <w:tcW w:w="1276" w:type="dxa"/>
            <w:tcBorders>
              <w:top w:val="nil"/>
              <w:left w:val="nil"/>
              <w:bottom w:val="single" w:sz="4" w:space="0" w:color="auto"/>
              <w:right w:val="single" w:sz="4" w:space="0" w:color="auto"/>
            </w:tcBorders>
            <w:shd w:val="clear" w:color="000000" w:fill="E7E6E6"/>
            <w:noWrap/>
            <w:vAlign w:val="center"/>
            <w:hideMark/>
          </w:tcPr>
          <w:p w14:paraId="6FCC3A9C" w14:textId="77777777" w:rsidR="00631E9C" w:rsidRPr="00631E9C" w:rsidRDefault="00631E9C" w:rsidP="00631E9C">
            <w:pPr>
              <w:jc w:val="center"/>
              <w:rPr>
                <w:color w:val="000000"/>
                <w:sz w:val="22"/>
                <w:szCs w:val="22"/>
              </w:rPr>
            </w:pPr>
            <w:r w:rsidRPr="00631E9C">
              <w:rPr>
                <w:color w:val="000000"/>
                <w:sz w:val="22"/>
                <w:szCs w:val="22"/>
              </w:rPr>
              <w:t>SIGLA</w:t>
            </w:r>
          </w:p>
        </w:tc>
        <w:tc>
          <w:tcPr>
            <w:tcW w:w="1134" w:type="dxa"/>
            <w:tcBorders>
              <w:top w:val="nil"/>
              <w:left w:val="nil"/>
              <w:bottom w:val="single" w:sz="4" w:space="0" w:color="auto"/>
              <w:right w:val="single" w:sz="4" w:space="0" w:color="auto"/>
            </w:tcBorders>
            <w:shd w:val="clear" w:color="000000" w:fill="E7E6E6"/>
            <w:vAlign w:val="center"/>
            <w:hideMark/>
          </w:tcPr>
          <w:p w14:paraId="08F17760" w14:textId="77777777" w:rsidR="00631E9C" w:rsidRPr="00631E9C" w:rsidRDefault="00631E9C" w:rsidP="00631E9C">
            <w:pPr>
              <w:jc w:val="center"/>
              <w:rPr>
                <w:color w:val="000000"/>
                <w:sz w:val="22"/>
                <w:szCs w:val="22"/>
              </w:rPr>
            </w:pPr>
            <w:r w:rsidRPr="00631E9C">
              <w:rPr>
                <w:color w:val="000000"/>
                <w:sz w:val="22"/>
                <w:szCs w:val="22"/>
              </w:rPr>
              <w:t>SALDO 2022 [€]</w:t>
            </w:r>
          </w:p>
        </w:tc>
        <w:tc>
          <w:tcPr>
            <w:tcW w:w="1134" w:type="dxa"/>
            <w:tcBorders>
              <w:top w:val="nil"/>
              <w:left w:val="nil"/>
              <w:bottom w:val="single" w:sz="4" w:space="0" w:color="auto"/>
              <w:right w:val="single" w:sz="4" w:space="0" w:color="auto"/>
            </w:tcBorders>
            <w:shd w:val="clear" w:color="000000" w:fill="E7E6E6"/>
            <w:vAlign w:val="center"/>
            <w:hideMark/>
          </w:tcPr>
          <w:p w14:paraId="327D455D" w14:textId="77777777" w:rsidR="00631E9C" w:rsidRPr="00631E9C" w:rsidRDefault="00631E9C" w:rsidP="00631E9C">
            <w:pPr>
              <w:jc w:val="center"/>
              <w:rPr>
                <w:color w:val="000000"/>
                <w:sz w:val="22"/>
                <w:szCs w:val="22"/>
              </w:rPr>
            </w:pPr>
            <w:r w:rsidRPr="00631E9C">
              <w:rPr>
                <w:color w:val="000000"/>
                <w:sz w:val="22"/>
                <w:szCs w:val="22"/>
              </w:rPr>
              <w:t>SALDO 2023 [€]</w:t>
            </w:r>
          </w:p>
        </w:tc>
        <w:tc>
          <w:tcPr>
            <w:tcW w:w="1134" w:type="dxa"/>
            <w:tcBorders>
              <w:top w:val="nil"/>
              <w:left w:val="nil"/>
              <w:bottom w:val="single" w:sz="4" w:space="0" w:color="auto"/>
              <w:right w:val="single" w:sz="4" w:space="0" w:color="auto"/>
            </w:tcBorders>
            <w:shd w:val="clear" w:color="000000" w:fill="E7E6E6"/>
            <w:vAlign w:val="center"/>
            <w:hideMark/>
          </w:tcPr>
          <w:p w14:paraId="0ADAD010" w14:textId="77777777" w:rsidR="00631E9C" w:rsidRPr="00631E9C" w:rsidRDefault="00631E9C" w:rsidP="00631E9C">
            <w:pPr>
              <w:jc w:val="center"/>
              <w:rPr>
                <w:color w:val="000000"/>
                <w:sz w:val="22"/>
                <w:szCs w:val="22"/>
              </w:rPr>
            </w:pPr>
            <w:r w:rsidRPr="00631E9C">
              <w:rPr>
                <w:color w:val="000000"/>
                <w:sz w:val="22"/>
                <w:szCs w:val="22"/>
              </w:rPr>
              <w:t>SALDO 2024 [€]</w:t>
            </w:r>
          </w:p>
        </w:tc>
        <w:tc>
          <w:tcPr>
            <w:tcW w:w="1130" w:type="dxa"/>
            <w:tcBorders>
              <w:top w:val="nil"/>
              <w:left w:val="nil"/>
              <w:bottom w:val="single" w:sz="4" w:space="0" w:color="auto"/>
              <w:right w:val="single" w:sz="4" w:space="0" w:color="auto"/>
            </w:tcBorders>
            <w:shd w:val="clear" w:color="000000" w:fill="E7E6E6"/>
            <w:vAlign w:val="center"/>
            <w:hideMark/>
          </w:tcPr>
          <w:p w14:paraId="076CB009" w14:textId="77777777" w:rsidR="00631E9C" w:rsidRPr="00631E9C" w:rsidRDefault="00631E9C" w:rsidP="00631E9C">
            <w:pPr>
              <w:jc w:val="center"/>
              <w:rPr>
                <w:color w:val="000000"/>
                <w:sz w:val="22"/>
                <w:szCs w:val="22"/>
              </w:rPr>
            </w:pPr>
            <w:r w:rsidRPr="00631E9C">
              <w:rPr>
                <w:color w:val="000000"/>
                <w:sz w:val="22"/>
                <w:szCs w:val="22"/>
              </w:rPr>
              <w:t>SALDO 2025 [€]</w:t>
            </w:r>
          </w:p>
        </w:tc>
      </w:tr>
      <w:tr w:rsidR="003635DA" w:rsidRPr="00631E9C" w14:paraId="60472290" w14:textId="77777777" w:rsidTr="00C8557D">
        <w:trPr>
          <w:trHeight w:val="28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68185422" w14:textId="77777777" w:rsidR="003635DA" w:rsidRPr="00631E9C" w:rsidRDefault="003635DA" w:rsidP="003635DA">
            <w:pPr>
              <w:jc w:val="left"/>
              <w:rPr>
                <w:color w:val="000000"/>
                <w:sz w:val="22"/>
                <w:szCs w:val="22"/>
              </w:rPr>
            </w:pPr>
            <w:r w:rsidRPr="00631E9C">
              <w:rPr>
                <w:color w:val="000000"/>
                <w:sz w:val="22"/>
                <w:szCs w:val="22"/>
              </w:rPr>
              <w:t>Costi dell’attività di raccolta e trasporto dei rifiuti urbani indifferenziati</w:t>
            </w:r>
          </w:p>
        </w:tc>
        <w:tc>
          <w:tcPr>
            <w:tcW w:w="1276" w:type="dxa"/>
            <w:tcBorders>
              <w:top w:val="nil"/>
              <w:left w:val="nil"/>
              <w:bottom w:val="single" w:sz="4" w:space="0" w:color="auto"/>
              <w:right w:val="single" w:sz="4" w:space="0" w:color="auto"/>
            </w:tcBorders>
            <w:shd w:val="clear" w:color="000000" w:fill="FFFFFF"/>
            <w:noWrap/>
            <w:vAlign w:val="center"/>
            <w:hideMark/>
          </w:tcPr>
          <w:p w14:paraId="08608C60" w14:textId="77777777" w:rsidR="003635DA" w:rsidRPr="00631E9C" w:rsidRDefault="003635DA" w:rsidP="003635DA">
            <w:pPr>
              <w:jc w:val="left"/>
              <w:rPr>
                <w:b/>
                <w:bCs/>
                <w:i/>
                <w:iCs/>
                <w:color w:val="000000"/>
                <w:sz w:val="22"/>
                <w:szCs w:val="22"/>
              </w:rPr>
            </w:pPr>
            <w:r w:rsidRPr="00631E9C">
              <w:rPr>
                <w:b/>
                <w:bCs/>
                <w:i/>
                <w:iCs/>
                <w:color w:val="000000"/>
                <w:sz w:val="22"/>
                <w:szCs w:val="22"/>
              </w:rPr>
              <w:t>CRT</w:t>
            </w:r>
          </w:p>
        </w:tc>
        <w:tc>
          <w:tcPr>
            <w:tcW w:w="1134" w:type="dxa"/>
            <w:tcBorders>
              <w:top w:val="nil"/>
              <w:left w:val="nil"/>
              <w:bottom w:val="single" w:sz="4" w:space="0" w:color="auto"/>
              <w:right w:val="single" w:sz="4" w:space="0" w:color="auto"/>
            </w:tcBorders>
            <w:shd w:val="clear" w:color="auto" w:fill="auto"/>
            <w:noWrap/>
            <w:vAlign w:val="center"/>
            <w:hideMark/>
          </w:tcPr>
          <w:p w14:paraId="7AF5E130" w14:textId="25572227" w:rsidR="003635DA" w:rsidRPr="00631E9C" w:rsidRDefault="003635DA" w:rsidP="003635DA">
            <w:pPr>
              <w:jc w:val="right"/>
              <w:rPr>
                <w:color w:val="000000"/>
                <w:sz w:val="22"/>
                <w:szCs w:val="22"/>
              </w:rPr>
            </w:pPr>
            <w:r>
              <w:rPr>
                <w:color w:val="000000"/>
                <w:sz w:val="22"/>
                <w:szCs w:val="22"/>
              </w:rPr>
              <w:t>2.955.652</w:t>
            </w:r>
          </w:p>
        </w:tc>
        <w:tc>
          <w:tcPr>
            <w:tcW w:w="1134" w:type="dxa"/>
            <w:tcBorders>
              <w:top w:val="nil"/>
              <w:left w:val="nil"/>
              <w:bottom w:val="single" w:sz="4" w:space="0" w:color="auto"/>
              <w:right w:val="single" w:sz="4" w:space="0" w:color="auto"/>
            </w:tcBorders>
            <w:shd w:val="clear" w:color="auto" w:fill="auto"/>
            <w:noWrap/>
            <w:vAlign w:val="center"/>
            <w:hideMark/>
          </w:tcPr>
          <w:p w14:paraId="45CCF5FC" w14:textId="3920ED69" w:rsidR="003635DA" w:rsidRPr="00631E9C" w:rsidRDefault="003635DA" w:rsidP="003635DA">
            <w:pPr>
              <w:jc w:val="right"/>
              <w:rPr>
                <w:color w:val="000000"/>
                <w:sz w:val="22"/>
                <w:szCs w:val="22"/>
              </w:rPr>
            </w:pPr>
            <w:r>
              <w:rPr>
                <w:color w:val="000000"/>
                <w:sz w:val="22"/>
                <w:szCs w:val="22"/>
              </w:rPr>
              <w:t>3.005.848</w:t>
            </w:r>
          </w:p>
        </w:tc>
        <w:tc>
          <w:tcPr>
            <w:tcW w:w="1134" w:type="dxa"/>
            <w:tcBorders>
              <w:top w:val="nil"/>
              <w:left w:val="nil"/>
              <w:bottom w:val="single" w:sz="4" w:space="0" w:color="auto"/>
              <w:right w:val="single" w:sz="4" w:space="0" w:color="auto"/>
            </w:tcBorders>
            <w:shd w:val="clear" w:color="auto" w:fill="auto"/>
            <w:noWrap/>
            <w:vAlign w:val="center"/>
            <w:hideMark/>
          </w:tcPr>
          <w:p w14:paraId="63058EA6" w14:textId="2E40F9D5" w:rsidR="003635DA" w:rsidRPr="00631E9C" w:rsidRDefault="003635DA" w:rsidP="003635DA">
            <w:pPr>
              <w:jc w:val="right"/>
              <w:rPr>
                <w:color w:val="000000"/>
                <w:sz w:val="22"/>
                <w:szCs w:val="22"/>
              </w:rPr>
            </w:pPr>
            <w:r>
              <w:rPr>
                <w:color w:val="000000"/>
                <w:sz w:val="22"/>
                <w:szCs w:val="22"/>
              </w:rPr>
              <w:t>3.005.848</w:t>
            </w:r>
          </w:p>
        </w:tc>
        <w:tc>
          <w:tcPr>
            <w:tcW w:w="1130" w:type="dxa"/>
            <w:tcBorders>
              <w:top w:val="nil"/>
              <w:left w:val="nil"/>
              <w:bottom w:val="single" w:sz="4" w:space="0" w:color="auto"/>
              <w:right w:val="single" w:sz="4" w:space="0" w:color="auto"/>
            </w:tcBorders>
            <w:shd w:val="clear" w:color="auto" w:fill="auto"/>
            <w:noWrap/>
            <w:vAlign w:val="center"/>
            <w:hideMark/>
          </w:tcPr>
          <w:p w14:paraId="673E68CB" w14:textId="302A1F9C" w:rsidR="003635DA" w:rsidRPr="00631E9C" w:rsidRDefault="003635DA" w:rsidP="003635DA">
            <w:pPr>
              <w:jc w:val="right"/>
              <w:rPr>
                <w:color w:val="000000"/>
                <w:sz w:val="22"/>
                <w:szCs w:val="22"/>
              </w:rPr>
            </w:pPr>
            <w:r>
              <w:rPr>
                <w:color w:val="000000"/>
                <w:sz w:val="22"/>
                <w:szCs w:val="22"/>
              </w:rPr>
              <w:t>3.005.848</w:t>
            </w:r>
          </w:p>
        </w:tc>
      </w:tr>
      <w:tr w:rsidR="003635DA" w:rsidRPr="00631E9C" w14:paraId="171AB72F" w14:textId="77777777" w:rsidTr="00C8557D">
        <w:trPr>
          <w:trHeight w:val="28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2405E0F4" w14:textId="77777777" w:rsidR="003635DA" w:rsidRPr="00631E9C" w:rsidRDefault="003635DA" w:rsidP="003635DA">
            <w:pPr>
              <w:jc w:val="left"/>
              <w:rPr>
                <w:color w:val="000000"/>
                <w:sz w:val="22"/>
                <w:szCs w:val="22"/>
              </w:rPr>
            </w:pPr>
            <w:r w:rsidRPr="00631E9C">
              <w:rPr>
                <w:color w:val="000000"/>
                <w:sz w:val="22"/>
                <w:szCs w:val="22"/>
              </w:rPr>
              <w:t>Costi dell’attività di trattamento e smaltimento dei rifiuti urbani</w:t>
            </w:r>
          </w:p>
        </w:tc>
        <w:tc>
          <w:tcPr>
            <w:tcW w:w="1276" w:type="dxa"/>
            <w:tcBorders>
              <w:top w:val="nil"/>
              <w:left w:val="nil"/>
              <w:bottom w:val="single" w:sz="4" w:space="0" w:color="auto"/>
              <w:right w:val="single" w:sz="4" w:space="0" w:color="auto"/>
            </w:tcBorders>
            <w:shd w:val="clear" w:color="000000" w:fill="FFFFFF"/>
            <w:noWrap/>
            <w:vAlign w:val="center"/>
            <w:hideMark/>
          </w:tcPr>
          <w:p w14:paraId="1093C709" w14:textId="77777777" w:rsidR="003635DA" w:rsidRPr="00631E9C" w:rsidRDefault="003635DA" w:rsidP="003635DA">
            <w:pPr>
              <w:jc w:val="left"/>
              <w:rPr>
                <w:b/>
                <w:bCs/>
                <w:i/>
                <w:iCs/>
                <w:color w:val="000000"/>
                <w:sz w:val="22"/>
                <w:szCs w:val="22"/>
              </w:rPr>
            </w:pPr>
            <w:r w:rsidRPr="00631E9C">
              <w:rPr>
                <w:b/>
                <w:bCs/>
                <w:i/>
                <w:iCs/>
                <w:color w:val="000000"/>
                <w:sz w:val="22"/>
                <w:szCs w:val="22"/>
              </w:rPr>
              <w:t>CTS</w:t>
            </w:r>
          </w:p>
        </w:tc>
        <w:tc>
          <w:tcPr>
            <w:tcW w:w="1134" w:type="dxa"/>
            <w:tcBorders>
              <w:top w:val="nil"/>
              <w:left w:val="nil"/>
              <w:bottom w:val="single" w:sz="4" w:space="0" w:color="auto"/>
              <w:right w:val="single" w:sz="4" w:space="0" w:color="auto"/>
            </w:tcBorders>
            <w:shd w:val="clear" w:color="auto" w:fill="auto"/>
            <w:noWrap/>
            <w:vAlign w:val="center"/>
            <w:hideMark/>
          </w:tcPr>
          <w:p w14:paraId="1047684F" w14:textId="62E37BDF"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1E794F7B" w14:textId="3852F7C5"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2EEADEAD" w14:textId="02682401" w:rsidR="003635DA" w:rsidRPr="00631E9C" w:rsidRDefault="003635DA" w:rsidP="003635DA">
            <w:pPr>
              <w:jc w:val="right"/>
              <w:rPr>
                <w:color w:val="000000"/>
                <w:sz w:val="22"/>
                <w:szCs w:val="22"/>
              </w:rPr>
            </w:pPr>
            <w:r>
              <w:rPr>
                <w:color w:val="000000"/>
                <w:sz w:val="22"/>
                <w:szCs w:val="22"/>
              </w:rPr>
              <w:t>0</w:t>
            </w:r>
          </w:p>
        </w:tc>
        <w:tc>
          <w:tcPr>
            <w:tcW w:w="1130" w:type="dxa"/>
            <w:tcBorders>
              <w:top w:val="nil"/>
              <w:left w:val="nil"/>
              <w:bottom w:val="single" w:sz="4" w:space="0" w:color="auto"/>
              <w:right w:val="single" w:sz="4" w:space="0" w:color="auto"/>
            </w:tcBorders>
            <w:shd w:val="clear" w:color="auto" w:fill="auto"/>
            <w:noWrap/>
            <w:vAlign w:val="center"/>
            <w:hideMark/>
          </w:tcPr>
          <w:p w14:paraId="036D6725" w14:textId="7B4BECEC" w:rsidR="003635DA" w:rsidRPr="00631E9C" w:rsidRDefault="003635DA" w:rsidP="003635DA">
            <w:pPr>
              <w:jc w:val="right"/>
              <w:rPr>
                <w:color w:val="000000"/>
                <w:sz w:val="22"/>
                <w:szCs w:val="22"/>
              </w:rPr>
            </w:pPr>
            <w:r>
              <w:rPr>
                <w:color w:val="000000"/>
                <w:sz w:val="22"/>
                <w:szCs w:val="22"/>
              </w:rPr>
              <w:t>0</w:t>
            </w:r>
          </w:p>
        </w:tc>
      </w:tr>
      <w:tr w:rsidR="003635DA" w:rsidRPr="00631E9C" w14:paraId="61B4B497" w14:textId="77777777" w:rsidTr="00C8557D">
        <w:trPr>
          <w:trHeight w:val="28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76F23726" w14:textId="77777777" w:rsidR="003635DA" w:rsidRPr="00631E9C" w:rsidRDefault="003635DA" w:rsidP="003635DA">
            <w:pPr>
              <w:jc w:val="left"/>
              <w:rPr>
                <w:color w:val="000000"/>
                <w:sz w:val="22"/>
                <w:szCs w:val="22"/>
              </w:rPr>
            </w:pPr>
            <w:r w:rsidRPr="00631E9C">
              <w:rPr>
                <w:color w:val="000000"/>
                <w:sz w:val="22"/>
                <w:szCs w:val="22"/>
              </w:rPr>
              <w:t>Costi dell’attività di trattamento e recupero dei rifiuti urbani</w:t>
            </w:r>
          </w:p>
        </w:tc>
        <w:tc>
          <w:tcPr>
            <w:tcW w:w="1276" w:type="dxa"/>
            <w:tcBorders>
              <w:top w:val="nil"/>
              <w:left w:val="nil"/>
              <w:bottom w:val="single" w:sz="4" w:space="0" w:color="auto"/>
              <w:right w:val="single" w:sz="4" w:space="0" w:color="auto"/>
            </w:tcBorders>
            <w:shd w:val="clear" w:color="000000" w:fill="FFFFFF"/>
            <w:noWrap/>
            <w:vAlign w:val="center"/>
            <w:hideMark/>
          </w:tcPr>
          <w:p w14:paraId="453AAC08" w14:textId="77777777" w:rsidR="003635DA" w:rsidRPr="00631E9C" w:rsidRDefault="003635DA" w:rsidP="003635DA">
            <w:pPr>
              <w:jc w:val="left"/>
              <w:rPr>
                <w:b/>
                <w:bCs/>
                <w:i/>
                <w:iCs/>
                <w:color w:val="000000"/>
                <w:sz w:val="22"/>
                <w:szCs w:val="22"/>
              </w:rPr>
            </w:pPr>
            <w:r w:rsidRPr="00631E9C">
              <w:rPr>
                <w:b/>
                <w:bCs/>
                <w:i/>
                <w:iCs/>
                <w:color w:val="000000"/>
                <w:sz w:val="22"/>
                <w:szCs w:val="22"/>
              </w:rPr>
              <w:t>CTR</w:t>
            </w:r>
          </w:p>
        </w:tc>
        <w:tc>
          <w:tcPr>
            <w:tcW w:w="1134" w:type="dxa"/>
            <w:tcBorders>
              <w:top w:val="nil"/>
              <w:left w:val="nil"/>
              <w:bottom w:val="single" w:sz="4" w:space="0" w:color="auto"/>
              <w:right w:val="single" w:sz="4" w:space="0" w:color="auto"/>
            </w:tcBorders>
            <w:shd w:val="clear" w:color="auto" w:fill="auto"/>
            <w:noWrap/>
            <w:vAlign w:val="center"/>
            <w:hideMark/>
          </w:tcPr>
          <w:p w14:paraId="76E6993A" w14:textId="16274371" w:rsidR="003635DA" w:rsidRPr="00631E9C" w:rsidRDefault="003635DA" w:rsidP="003635DA">
            <w:pPr>
              <w:jc w:val="right"/>
              <w:rPr>
                <w:color w:val="000000"/>
                <w:sz w:val="22"/>
                <w:szCs w:val="22"/>
              </w:rPr>
            </w:pPr>
            <w:r>
              <w:rPr>
                <w:color w:val="000000"/>
                <w:sz w:val="22"/>
                <w:szCs w:val="22"/>
              </w:rPr>
              <w:t>5.184.968</w:t>
            </w:r>
          </w:p>
        </w:tc>
        <w:tc>
          <w:tcPr>
            <w:tcW w:w="1134" w:type="dxa"/>
            <w:tcBorders>
              <w:top w:val="nil"/>
              <w:left w:val="nil"/>
              <w:bottom w:val="single" w:sz="4" w:space="0" w:color="auto"/>
              <w:right w:val="single" w:sz="4" w:space="0" w:color="auto"/>
            </w:tcBorders>
            <w:shd w:val="clear" w:color="auto" w:fill="auto"/>
            <w:noWrap/>
            <w:vAlign w:val="center"/>
            <w:hideMark/>
          </w:tcPr>
          <w:p w14:paraId="07913C9C" w14:textId="3B15CC60" w:rsidR="003635DA" w:rsidRPr="00631E9C" w:rsidRDefault="003635DA" w:rsidP="003635DA">
            <w:pPr>
              <w:jc w:val="right"/>
              <w:rPr>
                <w:color w:val="000000"/>
                <w:sz w:val="22"/>
                <w:szCs w:val="22"/>
              </w:rPr>
            </w:pPr>
            <w:r>
              <w:rPr>
                <w:color w:val="000000"/>
                <w:sz w:val="22"/>
                <w:szCs w:val="22"/>
              </w:rPr>
              <w:t>5.273.024</w:t>
            </w:r>
          </w:p>
        </w:tc>
        <w:tc>
          <w:tcPr>
            <w:tcW w:w="1134" w:type="dxa"/>
            <w:tcBorders>
              <w:top w:val="nil"/>
              <w:left w:val="nil"/>
              <w:bottom w:val="single" w:sz="4" w:space="0" w:color="auto"/>
              <w:right w:val="single" w:sz="4" w:space="0" w:color="auto"/>
            </w:tcBorders>
            <w:shd w:val="clear" w:color="auto" w:fill="auto"/>
            <w:noWrap/>
            <w:vAlign w:val="center"/>
            <w:hideMark/>
          </w:tcPr>
          <w:p w14:paraId="69CEEDEF" w14:textId="30352491" w:rsidR="003635DA" w:rsidRPr="00631E9C" w:rsidRDefault="003635DA" w:rsidP="003635DA">
            <w:pPr>
              <w:jc w:val="right"/>
              <w:rPr>
                <w:color w:val="000000"/>
                <w:sz w:val="22"/>
                <w:szCs w:val="22"/>
              </w:rPr>
            </w:pPr>
            <w:r>
              <w:rPr>
                <w:color w:val="000000"/>
                <w:sz w:val="22"/>
                <w:szCs w:val="22"/>
              </w:rPr>
              <w:t>5.273.024</w:t>
            </w:r>
          </w:p>
        </w:tc>
        <w:tc>
          <w:tcPr>
            <w:tcW w:w="1130" w:type="dxa"/>
            <w:tcBorders>
              <w:top w:val="nil"/>
              <w:left w:val="nil"/>
              <w:bottom w:val="single" w:sz="4" w:space="0" w:color="auto"/>
              <w:right w:val="single" w:sz="4" w:space="0" w:color="auto"/>
            </w:tcBorders>
            <w:shd w:val="clear" w:color="auto" w:fill="auto"/>
            <w:noWrap/>
            <w:vAlign w:val="center"/>
            <w:hideMark/>
          </w:tcPr>
          <w:p w14:paraId="428ACBAE" w14:textId="06638AC1" w:rsidR="003635DA" w:rsidRPr="00631E9C" w:rsidRDefault="003635DA" w:rsidP="003635DA">
            <w:pPr>
              <w:jc w:val="right"/>
              <w:rPr>
                <w:color w:val="000000"/>
                <w:sz w:val="22"/>
                <w:szCs w:val="22"/>
              </w:rPr>
            </w:pPr>
            <w:r>
              <w:rPr>
                <w:color w:val="000000"/>
                <w:sz w:val="22"/>
                <w:szCs w:val="22"/>
              </w:rPr>
              <w:t>5.273.024</w:t>
            </w:r>
          </w:p>
        </w:tc>
      </w:tr>
      <w:tr w:rsidR="003635DA" w:rsidRPr="00631E9C" w14:paraId="2DF62614" w14:textId="77777777" w:rsidTr="00C8557D">
        <w:trPr>
          <w:trHeight w:val="28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6C80F1A6" w14:textId="77777777" w:rsidR="003635DA" w:rsidRPr="00631E9C" w:rsidRDefault="003635DA" w:rsidP="003635DA">
            <w:pPr>
              <w:jc w:val="left"/>
              <w:rPr>
                <w:color w:val="000000"/>
                <w:sz w:val="22"/>
                <w:szCs w:val="22"/>
              </w:rPr>
            </w:pPr>
            <w:r w:rsidRPr="00631E9C">
              <w:rPr>
                <w:color w:val="000000"/>
                <w:sz w:val="22"/>
                <w:szCs w:val="22"/>
              </w:rPr>
              <w:t>Costi dell’attività di raccolta e trasporto delle frazioni differenziate</w:t>
            </w:r>
          </w:p>
        </w:tc>
        <w:tc>
          <w:tcPr>
            <w:tcW w:w="1276" w:type="dxa"/>
            <w:tcBorders>
              <w:top w:val="nil"/>
              <w:left w:val="nil"/>
              <w:bottom w:val="single" w:sz="4" w:space="0" w:color="auto"/>
              <w:right w:val="single" w:sz="4" w:space="0" w:color="auto"/>
            </w:tcBorders>
            <w:shd w:val="clear" w:color="000000" w:fill="FFFFFF"/>
            <w:noWrap/>
            <w:vAlign w:val="center"/>
            <w:hideMark/>
          </w:tcPr>
          <w:p w14:paraId="29C3639E" w14:textId="77777777" w:rsidR="003635DA" w:rsidRPr="00631E9C" w:rsidRDefault="003635DA" w:rsidP="003635DA">
            <w:pPr>
              <w:jc w:val="left"/>
              <w:rPr>
                <w:b/>
                <w:bCs/>
                <w:i/>
                <w:iCs/>
                <w:color w:val="000000"/>
                <w:sz w:val="22"/>
                <w:szCs w:val="22"/>
              </w:rPr>
            </w:pPr>
            <w:r w:rsidRPr="00631E9C">
              <w:rPr>
                <w:b/>
                <w:bCs/>
                <w:i/>
                <w:iCs/>
                <w:color w:val="000000"/>
                <w:sz w:val="22"/>
                <w:szCs w:val="22"/>
              </w:rPr>
              <w:t>CRD</w:t>
            </w:r>
          </w:p>
        </w:tc>
        <w:tc>
          <w:tcPr>
            <w:tcW w:w="1134" w:type="dxa"/>
            <w:tcBorders>
              <w:top w:val="nil"/>
              <w:left w:val="nil"/>
              <w:bottom w:val="single" w:sz="4" w:space="0" w:color="auto"/>
              <w:right w:val="single" w:sz="4" w:space="0" w:color="auto"/>
            </w:tcBorders>
            <w:shd w:val="clear" w:color="auto" w:fill="auto"/>
            <w:noWrap/>
            <w:vAlign w:val="center"/>
            <w:hideMark/>
          </w:tcPr>
          <w:p w14:paraId="47D1770B" w14:textId="1EC01CB2" w:rsidR="003635DA" w:rsidRPr="00631E9C" w:rsidRDefault="003635DA" w:rsidP="003635DA">
            <w:pPr>
              <w:jc w:val="right"/>
              <w:rPr>
                <w:color w:val="000000"/>
                <w:sz w:val="22"/>
                <w:szCs w:val="22"/>
              </w:rPr>
            </w:pPr>
            <w:r>
              <w:rPr>
                <w:color w:val="000000"/>
                <w:sz w:val="22"/>
                <w:szCs w:val="22"/>
              </w:rPr>
              <w:t>12.248.527</w:t>
            </w:r>
          </w:p>
        </w:tc>
        <w:tc>
          <w:tcPr>
            <w:tcW w:w="1134" w:type="dxa"/>
            <w:tcBorders>
              <w:top w:val="nil"/>
              <w:left w:val="nil"/>
              <w:bottom w:val="single" w:sz="4" w:space="0" w:color="auto"/>
              <w:right w:val="single" w:sz="4" w:space="0" w:color="auto"/>
            </w:tcBorders>
            <w:shd w:val="clear" w:color="auto" w:fill="auto"/>
            <w:noWrap/>
            <w:vAlign w:val="center"/>
            <w:hideMark/>
          </w:tcPr>
          <w:p w14:paraId="49D0C83F" w14:textId="2F3A5624" w:rsidR="003635DA" w:rsidRPr="00631E9C" w:rsidRDefault="003635DA" w:rsidP="003635DA">
            <w:pPr>
              <w:jc w:val="right"/>
              <w:rPr>
                <w:color w:val="000000"/>
                <w:sz w:val="22"/>
                <w:szCs w:val="22"/>
              </w:rPr>
            </w:pPr>
            <w:r>
              <w:rPr>
                <w:color w:val="000000"/>
                <w:sz w:val="22"/>
                <w:szCs w:val="22"/>
              </w:rPr>
              <w:t>12.456.544</w:t>
            </w:r>
          </w:p>
        </w:tc>
        <w:tc>
          <w:tcPr>
            <w:tcW w:w="1134" w:type="dxa"/>
            <w:tcBorders>
              <w:top w:val="nil"/>
              <w:left w:val="nil"/>
              <w:bottom w:val="single" w:sz="4" w:space="0" w:color="auto"/>
              <w:right w:val="single" w:sz="4" w:space="0" w:color="auto"/>
            </w:tcBorders>
            <w:shd w:val="clear" w:color="auto" w:fill="auto"/>
            <w:noWrap/>
            <w:vAlign w:val="center"/>
            <w:hideMark/>
          </w:tcPr>
          <w:p w14:paraId="699EFE43" w14:textId="76643422" w:rsidR="003635DA" w:rsidRPr="00631E9C" w:rsidRDefault="003635DA" w:rsidP="003635DA">
            <w:pPr>
              <w:jc w:val="right"/>
              <w:rPr>
                <w:color w:val="000000"/>
                <w:sz w:val="22"/>
                <w:szCs w:val="22"/>
              </w:rPr>
            </w:pPr>
            <w:r>
              <w:rPr>
                <w:color w:val="000000"/>
                <w:sz w:val="22"/>
                <w:szCs w:val="22"/>
              </w:rPr>
              <w:t>12.456.544</w:t>
            </w:r>
          </w:p>
        </w:tc>
        <w:tc>
          <w:tcPr>
            <w:tcW w:w="1130" w:type="dxa"/>
            <w:tcBorders>
              <w:top w:val="nil"/>
              <w:left w:val="nil"/>
              <w:bottom w:val="single" w:sz="4" w:space="0" w:color="auto"/>
              <w:right w:val="single" w:sz="4" w:space="0" w:color="auto"/>
            </w:tcBorders>
            <w:shd w:val="clear" w:color="auto" w:fill="auto"/>
            <w:noWrap/>
            <w:vAlign w:val="center"/>
            <w:hideMark/>
          </w:tcPr>
          <w:p w14:paraId="138D4754" w14:textId="5CB4558E" w:rsidR="003635DA" w:rsidRPr="00631E9C" w:rsidRDefault="003635DA" w:rsidP="003635DA">
            <w:pPr>
              <w:jc w:val="right"/>
              <w:rPr>
                <w:color w:val="000000"/>
                <w:sz w:val="22"/>
                <w:szCs w:val="22"/>
              </w:rPr>
            </w:pPr>
            <w:r>
              <w:rPr>
                <w:color w:val="000000"/>
                <w:sz w:val="22"/>
                <w:szCs w:val="22"/>
              </w:rPr>
              <w:t>12.456.544</w:t>
            </w:r>
          </w:p>
        </w:tc>
      </w:tr>
      <w:tr w:rsidR="003635DA" w:rsidRPr="00631E9C" w14:paraId="16960A74" w14:textId="77777777" w:rsidTr="00C8557D">
        <w:trPr>
          <w:trHeight w:val="34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571F8875" w14:textId="77777777" w:rsidR="003635DA" w:rsidRPr="00631E9C" w:rsidRDefault="003635DA" w:rsidP="003635DA">
            <w:pPr>
              <w:jc w:val="left"/>
              <w:rPr>
                <w:color w:val="000000"/>
                <w:sz w:val="22"/>
                <w:szCs w:val="22"/>
              </w:rPr>
            </w:pPr>
            <w:r w:rsidRPr="00631E9C">
              <w:rPr>
                <w:color w:val="000000"/>
                <w:sz w:val="22"/>
                <w:szCs w:val="22"/>
              </w:rPr>
              <w:t>Costi operativi variabili previsionali di cui all'articolo 9.1 del MTR-2</w:t>
            </w:r>
          </w:p>
        </w:tc>
        <w:tc>
          <w:tcPr>
            <w:tcW w:w="1276" w:type="dxa"/>
            <w:tcBorders>
              <w:top w:val="nil"/>
              <w:left w:val="nil"/>
              <w:bottom w:val="single" w:sz="4" w:space="0" w:color="auto"/>
              <w:right w:val="single" w:sz="4" w:space="0" w:color="auto"/>
            </w:tcBorders>
            <w:shd w:val="clear" w:color="000000" w:fill="FFFFFF"/>
            <w:noWrap/>
            <w:vAlign w:val="center"/>
            <w:hideMark/>
          </w:tcPr>
          <w:p w14:paraId="6FC2DD5F" w14:textId="77777777" w:rsidR="003635DA" w:rsidRPr="00631E9C" w:rsidRDefault="003635DA" w:rsidP="003635DA">
            <w:pPr>
              <w:jc w:val="left"/>
              <w:rPr>
                <w:b/>
                <w:bCs/>
                <w:i/>
                <w:iCs/>
                <w:color w:val="000000"/>
                <w:sz w:val="22"/>
                <w:szCs w:val="22"/>
              </w:rPr>
            </w:pPr>
            <w:r w:rsidRPr="00631E9C">
              <w:rPr>
                <w:b/>
                <w:bCs/>
                <w:i/>
                <w:iCs/>
                <w:sz w:val="22"/>
                <w:szCs w:val="22"/>
              </w:rPr>
              <w:t>CO</w:t>
            </w:r>
            <w:r w:rsidRPr="00631E9C">
              <w:rPr>
                <w:b/>
                <w:bCs/>
                <w:i/>
                <w:iCs/>
                <w:color w:val="000000"/>
                <w:sz w:val="22"/>
                <w:szCs w:val="22"/>
                <w:vertAlign w:val="superscript"/>
              </w:rPr>
              <w:t>EXP</w:t>
            </w:r>
            <w:r w:rsidRPr="00631E9C">
              <w:rPr>
                <w:b/>
                <w:bCs/>
                <w:i/>
                <w:iCs/>
                <w:color w:val="000000"/>
                <w:sz w:val="22"/>
                <w:szCs w:val="22"/>
                <w:vertAlign w:val="subscript"/>
              </w:rPr>
              <w:t>116,TV</w:t>
            </w:r>
          </w:p>
        </w:tc>
        <w:tc>
          <w:tcPr>
            <w:tcW w:w="1134" w:type="dxa"/>
            <w:tcBorders>
              <w:top w:val="nil"/>
              <w:left w:val="nil"/>
              <w:bottom w:val="single" w:sz="4" w:space="0" w:color="auto"/>
              <w:right w:val="single" w:sz="4" w:space="0" w:color="auto"/>
            </w:tcBorders>
            <w:shd w:val="clear" w:color="auto" w:fill="auto"/>
            <w:noWrap/>
            <w:vAlign w:val="center"/>
            <w:hideMark/>
          </w:tcPr>
          <w:p w14:paraId="21B382CB" w14:textId="5F229CDF" w:rsidR="003635DA" w:rsidRPr="00631E9C" w:rsidRDefault="003635DA" w:rsidP="003635DA">
            <w:pPr>
              <w:jc w:val="right"/>
              <w:rPr>
                <w:color w:val="000000"/>
                <w:sz w:val="22"/>
                <w:szCs w:val="22"/>
              </w:rPr>
            </w:pPr>
            <w:r>
              <w:rPr>
                <w:color w:val="000000"/>
                <w:sz w:val="22"/>
                <w:szCs w:val="22"/>
              </w:rPr>
              <w:t>10.000</w:t>
            </w:r>
          </w:p>
        </w:tc>
        <w:tc>
          <w:tcPr>
            <w:tcW w:w="1134" w:type="dxa"/>
            <w:tcBorders>
              <w:top w:val="nil"/>
              <w:left w:val="nil"/>
              <w:bottom w:val="single" w:sz="4" w:space="0" w:color="auto"/>
              <w:right w:val="single" w:sz="4" w:space="0" w:color="auto"/>
            </w:tcBorders>
            <w:shd w:val="clear" w:color="auto" w:fill="auto"/>
            <w:noWrap/>
            <w:vAlign w:val="center"/>
            <w:hideMark/>
          </w:tcPr>
          <w:p w14:paraId="7EAD7431" w14:textId="7E5B169F" w:rsidR="003635DA" w:rsidRPr="00631E9C" w:rsidRDefault="003635DA" w:rsidP="003635DA">
            <w:pPr>
              <w:jc w:val="right"/>
              <w:rPr>
                <w:color w:val="000000"/>
                <w:sz w:val="22"/>
                <w:szCs w:val="22"/>
              </w:rPr>
            </w:pPr>
            <w:r>
              <w:rPr>
                <w:color w:val="000000"/>
                <w:sz w:val="22"/>
                <w:szCs w:val="22"/>
              </w:rPr>
              <w:t>20.000</w:t>
            </w:r>
          </w:p>
        </w:tc>
        <w:tc>
          <w:tcPr>
            <w:tcW w:w="1134" w:type="dxa"/>
            <w:tcBorders>
              <w:top w:val="nil"/>
              <w:left w:val="nil"/>
              <w:bottom w:val="single" w:sz="4" w:space="0" w:color="auto"/>
              <w:right w:val="single" w:sz="4" w:space="0" w:color="auto"/>
            </w:tcBorders>
            <w:shd w:val="clear" w:color="auto" w:fill="auto"/>
            <w:noWrap/>
            <w:vAlign w:val="center"/>
            <w:hideMark/>
          </w:tcPr>
          <w:p w14:paraId="5F4F82D2" w14:textId="4AD822CF" w:rsidR="003635DA" w:rsidRPr="00631E9C" w:rsidRDefault="003635DA" w:rsidP="003635DA">
            <w:pPr>
              <w:jc w:val="right"/>
              <w:rPr>
                <w:color w:val="000000"/>
                <w:sz w:val="22"/>
                <w:szCs w:val="22"/>
              </w:rPr>
            </w:pPr>
            <w:r>
              <w:rPr>
                <w:color w:val="000000"/>
                <w:sz w:val="22"/>
                <w:szCs w:val="22"/>
              </w:rPr>
              <w:t>30.000</w:t>
            </w:r>
          </w:p>
        </w:tc>
        <w:tc>
          <w:tcPr>
            <w:tcW w:w="1130" w:type="dxa"/>
            <w:tcBorders>
              <w:top w:val="nil"/>
              <w:left w:val="nil"/>
              <w:bottom w:val="single" w:sz="4" w:space="0" w:color="auto"/>
              <w:right w:val="single" w:sz="4" w:space="0" w:color="auto"/>
            </w:tcBorders>
            <w:shd w:val="clear" w:color="auto" w:fill="auto"/>
            <w:noWrap/>
            <w:vAlign w:val="center"/>
            <w:hideMark/>
          </w:tcPr>
          <w:p w14:paraId="085A986C" w14:textId="300A64A0" w:rsidR="003635DA" w:rsidRPr="00631E9C" w:rsidRDefault="003635DA" w:rsidP="003635DA">
            <w:pPr>
              <w:jc w:val="right"/>
              <w:rPr>
                <w:color w:val="000000"/>
                <w:sz w:val="22"/>
                <w:szCs w:val="22"/>
              </w:rPr>
            </w:pPr>
            <w:r>
              <w:rPr>
                <w:color w:val="000000"/>
                <w:sz w:val="22"/>
                <w:szCs w:val="22"/>
              </w:rPr>
              <w:t>30.000</w:t>
            </w:r>
          </w:p>
        </w:tc>
      </w:tr>
      <w:tr w:rsidR="003635DA" w:rsidRPr="00631E9C" w14:paraId="6734F405" w14:textId="77777777" w:rsidTr="00C8557D">
        <w:trPr>
          <w:trHeight w:val="34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151BC5DB" w14:textId="77777777" w:rsidR="003635DA" w:rsidRPr="00631E9C" w:rsidRDefault="003635DA" w:rsidP="003635DA">
            <w:pPr>
              <w:jc w:val="left"/>
              <w:rPr>
                <w:color w:val="000000"/>
                <w:sz w:val="22"/>
                <w:szCs w:val="22"/>
              </w:rPr>
            </w:pPr>
            <w:r w:rsidRPr="00631E9C">
              <w:rPr>
                <w:color w:val="000000"/>
                <w:sz w:val="22"/>
                <w:szCs w:val="22"/>
              </w:rPr>
              <w:t>Costi operativi variabili previsionali di cui all'articolo 9.2 del MTR-2</w:t>
            </w:r>
          </w:p>
        </w:tc>
        <w:tc>
          <w:tcPr>
            <w:tcW w:w="1276" w:type="dxa"/>
            <w:tcBorders>
              <w:top w:val="nil"/>
              <w:left w:val="nil"/>
              <w:bottom w:val="single" w:sz="4" w:space="0" w:color="auto"/>
              <w:right w:val="single" w:sz="4" w:space="0" w:color="auto"/>
            </w:tcBorders>
            <w:shd w:val="clear" w:color="000000" w:fill="FFFFFF"/>
            <w:noWrap/>
            <w:vAlign w:val="center"/>
            <w:hideMark/>
          </w:tcPr>
          <w:p w14:paraId="6582217F" w14:textId="77777777" w:rsidR="003635DA" w:rsidRPr="00631E9C" w:rsidRDefault="003635DA" w:rsidP="003635DA">
            <w:pPr>
              <w:jc w:val="left"/>
              <w:rPr>
                <w:b/>
                <w:bCs/>
                <w:i/>
                <w:iCs/>
                <w:color w:val="000000"/>
                <w:sz w:val="22"/>
                <w:szCs w:val="22"/>
              </w:rPr>
            </w:pPr>
            <w:r w:rsidRPr="00631E9C">
              <w:rPr>
                <w:b/>
                <w:bCs/>
                <w:i/>
                <w:iCs/>
                <w:color w:val="000000"/>
                <w:sz w:val="22"/>
                <w:szCs w:val="22"/>
              </w:rPr>
              <w:t>CQ</w:t>
            </w:r>
            <w:r w:rsidRPr="00631E9C">
              <w:rPr>
                <w:b/>
                <w:bCs/>
                <w:i/>
                <w:iCs/>
                <w:color w:val="000000"/>
                <w:sz w:val="22"/>
                <w:szCs w:val="22"/>
                <w:vertAlign w:val="superscript"/>
              </w:rPr>
              <w:t>EXP</w:t>
            </w:r>
            <w:r w:rsidRPr="00631E9C">
              <w:rPr>
                <w:b/>
                <w:bCs/>
                <w:i/>
                <w:iCs/>
                <w:color w:val="000000"/>
                <w:sz w:val="22"/>
                <w:szCs w:val="22"/>
                <w:vertAlign w:val="subscript"/>
              </w:rPr>
              <w:t>TV</w:t>
            </w:r>
          </w:p>
        </w:tc>
        <w:tc>
          <w:tcPr>
            <w:tcW w:w="1134" w:type="dxa"/>
            <w:tcBorders>
              <w:top w:val="nil"/>
              <w:left w:val="nil"/>
              <w:bottom w:val="single" w:sz="4" w:space="0" w:color="auto"/>
              <w:right w:val="single" w:sz="4" w:space="0" w:color="auto"/>
            </w:tcBorders>
            <w:shd w:val="clear" w:color="auto" w:fill="auto"/>
            <w:noWrap/>
            <w:vAlign w:val="center"/>
            <w:hideMark/>
          </w:tcPr>
          <w:p w14:paraId="4C4BF527" w14:textId="6C883B6E"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1908C837" w14:textId="217D810C"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00F5A0CE" w14:textId="4DC6B93A" w:rsidR="003635DA" w:rsidRPr="00631E9C" w:rsidRDefault="003635DA" w:rsidP="003635DA">
            <w:pPr>
              <w:jc w:val="right"/>
              <w:rPr>
                <w:color w:val="000000"/>
                <w:sz w:val="22"/>
                <w:szCs w:val="22"/>
              </w:rPr>
            </w:pPr>
            <w:r>
              <w:rPr>
                <w:color w:val="000000"/>
                <w:sz w:val="22"/>
                <w:szCs w:val="22"/>
              </w:rPr>
              <w:t>0</w:t>
            </w:r>
          </w:p>
        </w:tc>
        <w:tc>
          <w:tcPr>
            <w:tcW w:w="1130" w:type="dxa"/>
            <w:tcBorders>
              <w:top w:val="nil"/>
              <w:left w:val="nil"/>
              <w:bottom w:val="single" w:sz="4" w:space="0" w:color="auto"/>
              <w:right w:val="single" w:sz="4" w:space="0" w:color="auto"/>
            </w:tcBorders>
            <w:shd w:val="clear" w:color="auto" w:fill="auto"/>
            <w:noWrap/>
            <w:vAlign w:val="center"/>
            <w:hideMark/>
          </w:tcPr>
          <w:p w14:paraId="6A26A280" w14:textId="72FB80BC" w:rsidR="003635DA" w:rsidRPr="00631E9C" w:rsidRDefault="003635DA" w:rsidP="003635DA">
            <w:pPr>
              <w:jc w:val="right"/>
              <w:rPr>
                <w:color w:val="000000"/>
                <w:sz w:val="22"/>
                <w:szCs w:val="22"/>
              </w:rPr>
            </w:pPr>
            <w:r>
              <w:rPr>
                <w:color w:val="000000"/>
                <w:sz w:val="22"/>
                <w:szCs w:val="22"/>
              </w:rPr>
              <w:t>0</w:t>
            </w:r>
          </w:p>
        </w:tc>
      </w:tr>
      <w:tr w:rsidR="003635DA" w:rsidRPr="00631E9C" w14:paraId="0CBB87C5" w14:textId="77777777" w:rsidTr="00C8557D">
        <w:trPr>
          <w:trHeight w:val="34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75826238" w14:textId="77777777" w:rsidR="003635DA" w:rsidRPr="00631E9C" w:rsidRDefault="003635DA" w:rsidP="003635DA">
            <w:pPr>
              <w:jc w:val="left"/>
              <w:rPr>
                <w:color w:val="000000"/>
                <w:sz w:val="22"/>
                <w:szCs w:val="22"/>
              </w:rPr>
            </w:pPr>
            <w:r w:rsidRPr="00631E9C">
              <w:rPr>
                <w:color w:val="000000"/>
                <w:sz w:val="22"/>
                <w:szCs w:val="22"/>
              </w:rPr>
              <w:t>Costi operativi incentivanti variabili di cui all'articolo 9.3 del MTR-2</w:t>
            </w:r>
          </w:p>
        </w:tc>
        <w:tc>
          <w:tcPr>
            <w:tcW w:w="1276" w:type="dxa"/>
            <w:tcBorders>
              <w:top w:val="nil"/>
              <w:left w:val="nil"/>
              <w:bottom w:val="single" w:sz="4" w:space="0" w:color="auto"/>
              <w:right w:val="single" w:sz="4" w:space="0" w:color="auto"/>
            </w:tcBorders>
            <w:shd w:val="clear" w:color="000000" w:fill="FFFFFF"/>
            <w:noWrap/>
            <w:vAlign w:val="center"/>
            <w:hideMark/>
          </w:tcPr>
          <w:p w14:paraId="25FEE898" w14:textId="77777777" w:rsidR="003635DA" w:rsidRPr="00631E9C" w:rsidRDefault="003635DA" w:rsidP="003635DA">
            <w:pPr>
              <w:jc w:val="left"/>
              <w:rPr>
                <w:b/>
                <w:bCs/>
                <w:i/>
                <w:iCs/>
                <w:color w:val="000000"/>
                <w:sz w:val="22"/>
                <w:szCs w:val="22"/>
              </w:rPr>
            </w:pPr>
            <w:r w:rsidRPr="00631E9C">
              <w:rPr>
                <w:b/>
                <w:bCs/>
                <w:i/>
                <w:iCs/>
                <w:color w:val="000000"/>
                <w:sz w:val="22"/>
                <w:szCs w:val="22"/>
              </w:rPr>
              <w:t>COI</w:t>
            </w:r>
            <w:r w:rsidRPr="00631E9C">
              <w:rPr>
                <w:b/>
                <w:bCs/>
                <w:i/>
                <w:iCs/>
                <w:color w:val="000000"/>
                <w:sz w:val="22"/>
                <w:szCs w:val="22"/>
                <w:vertAlign w:val="superscript"/>
              </w:rPr>
              <w:t>EXP</w:t>
            </w:r>
            <w:r w:rsidRPr="00631E9C">
              <w:rPr>
                <w:b/>
                <w:bCs/>
                <w:i/>
                <w:iCs/>
                <w:color w:val="000000"/>
                <w:sz w:val="22"/>
                <w:szCs w:val="22"/>
                <w:vertAlign w:val="subscript"/>
              </w:rPr>
              <w:t>TV</w:t>
            </w:r>
          </w:p>
        </w:tc>
        <w:tc>
          <w:tcPr>
            <w:tcW w:w="1134" w:type="dxa"/>
            <w:tcBorders>
              <w:top w:val="nil"/>
              <w:left w:val="nil"/>
              <w:bottom w:val="single" w:sz="4" w:space="0" w:color="auto"/>
              <w:right w:val="single" w:sz="4" w:space="0" w:color="auto"/>
            </w:tcBorders>
            <w:shd w:val="clear" w:color="auto" w:fill="auto"/>
            <w:noWrap/>
            <w:vAlign w:val="center"/>
            <w:hideMark/>
          </w:tcPr>
          <w:p w14:paraId="3F2DD893" w14:textId="0B8E9113"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5CDA5292" w14:textId="418EAF86" w:rsidR="003635DA" w:rsidRPr="00631E9C" w:rsidRDefault="003635DA" w:rsidP="003635DA">
            <w:pPr>
              <w:jc w:val="right"/>
              <w:rPr>
                <w:color w:val="000000"/>
                <w:sz w:val="22"/>
                <w:szCs w:val="22"/>
              </w:rPr>
            </w:pPr>
            <w:r>
              <w:rPr>
                <w:color w:val="000000"/>
                <w:sz w:val="22"/>
                <w:szCs w:val="22"/>
              </w:rPr>
              <w:t>100.000</w:t>
            </w:r>
          </w:p>
        </w:tc>
        <w:tc>
          <w:tcPr>
            <w:tcW w:w="1134" w:type="dxa"/>
            <w:tcBorders>
              <w:top w:val="nil"/>
              <w:left w:val="nil"/>
              <w:bottom w:val="single" w:sz="4" w:space="0" w:color="auto"/>
              <w:right w:val="single" w:sz="4" w:space="0" w:color="auto"/>
            </w:tcBorders>
            <w:shd w:val="clear" w:color="auto" w:fill="auto"/>
            <w:noWrap/>
            <w:vAlign w:val="center"/>
            <w:hideMark/>
          </w:tcPr>
          <w:p w14:paraId="3E9E9CB5" w14:textId="38BCF2F9" w:rsidR="003635DA" w:rsidRPr="00631E9C" w:rsidRDefault="003635DA" w:rsidP="003635DA">
            <w:pPr>
              <w:jc w:val="right"/>
              <w:rPr>
                <w:color w:val="000000"/>
                <w:sz w:val="22"/>
                <w:szCs w:val="22"/>
              </w:rPr>
            </w:pPr>
            <w:r>
              <w:rPr>
                <w:color w:val="000000"/>
                <w:sz w:val="22"/>
                <w:szCs w:val="22"/>
              </w:rPr>
              <w:t>200.000</w:t>
            </w:r>
          </w:p>
        </w:tc>
        <w:tc>
          <w:tcPr>
            <w:tcW w:w="1130" w:type="dxa"/>
            <w:tcBorders>
              <w:top w:val="nil"/>
              <w:left w:val="nil"/>
              <w:bottom w:val="single" w:sz="4" w:space="0" w:color="auto"/>
              <w:right w:val="single" w:sz="4" w:space="0" w:color="auto"/>
            </w:tcBorders>
            <w:shd w:val="clear" w:color="auto" w:fill="auto"/>
            <w:noWrap/>
            <w:vAlign w:val="center"/>
            <w:hideMark/>
          </w:tcPr>
          <w:p w14:paraId="65EE9448" w14:textId="090168BB" w:rsidR="003635DA" w:rsidRPr="00631E9C" w:rsidRDefault="003635DA" w:rsidP="003635DA">
            <w:pPr>
              <w:jc w:val="right"/>
              <w:rPr>
                <w:color w:val="000000"/>
                <w:sz w:val="22"/>
                <w:szCs w:val="22"/>
              </w:rPr>
            </w:pPr>
            <w:r>
              <w:rPr>
                <w:color w:val="000000"/>
                <w:sz w:val="22"/>
                <w:szCs w:val="22"/>
              </w:rPr>
              <w:t>200.000</w:t>
            </w:r>
          </w:p>
        </w:tc>
      </w:tr>
      <w:tr w:rsidR="003635DA" w:rsidRPr="00631E9C" w14:paraId="62DDCDB8" w14:textId="77777777" w:rsidTr="00C8557D">
        <w:trPr>
          <w:trHeight w:val="28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11543C7A" w14:textId="77777777" w:rsidR="003635DA" w:rsidRPr="00631E9C" w:rsidRDefault="003635DA" w:rsidP="003635DA">
            <w:pPr>
              <w:jc w:val="left"/>
              <w:rPr>
                <w:color w:val="000000"/>
                <w:sz w:val="22"/>
                <w:szCs w:val="22"/>
              </w:rPr>
            </w:pPr>
            <w:r w:rsidRPr="00631E9C">
              <w:rPr>
                <w:color w:val="000000"/>
                <w:sz w:val="22"/>
                <w:szCs w:val="22"/>
              </w:rPr>
              <w:t>Proventi della vendita di materiale ed energia derivante da rifiuti</w:t>
            </w:r>
          </w:p>
        </w:tc>
        <w:tc>
          <w:tcPr>
            <w:tcW w:w="1276" w:type="dxa"/>
            <w:tcBorders>
              <w:top w:val="nil"/>
              <w:left w:val="nil"/>
              <w:bottom w:val="single" w:sz="4" w:space="0" w:color="auto"/>
              <w:right w:val="single" w:sz="4" w:space="0" w:color="auto"/>
            </w:tcBorders>
            <w:shd w:val="clear" w:color="000000" w:fill="FFFFFF"/>
            <w:noWrap/>
            <w:vAlign w:val="center"/>
            <w:hideMark/>
          </w:tcPr>
          <w:p w14:paraId="67A0D8BA" w14:textId="77777777" w:rsidR="003635DA" w:rsidRPr="00631E9C" w:rsidRDefault="003635DA" w:rsidP="003635DA">
            <w:pPr>
              <w:jc w:val="left"/>
              <w:rPr>
                <w:b/>
                <w:bCs/>
                <w:i/>
                <w:iCs/>
                <w:color w:val="000000"/>
                <w:sz w:val="22"/>
                <w:szCs w:val="22"/>
              </w:rPr>
            </w:pPr>
            <w:r w:rsidRPr="00631E9C">
              <w:rPr>
                <w:b/>
                <w:bCs/>
                <w:i/>
                <w:iCs/>
                <w:color w:val="000000"/>
                <w:sz w:val="22"/>
                <w:szCs w:val="22"/>
              </w:rPr>
              <w:t>AR</w:t>
            </w:r>
          </w:p>
        </w:tc>
        <w:tc>
          <w:tcPr>
            <w:tcW w:w="1134" w:type="dxa"/>
            <w:tcBorders>
              <w:top w:val="nil"/>
              <w:left w:val="nil"/>
              <w:bottom w:val="single" w:sz="4" w:space="0" w:color="auto"/>
              <w:right w:val="single" w:sz="4" w:space="0" w:color="auto"/>
            </w:tcBorders>
            <w:shd w:val="clear" w:color="auto" w:fill="auto"/>
            <w:noWrap/>
            <w:vAlign w:val="center"/>
            <w:hideMark/>
          </w:tcPr>
          <w:p w14:paraId="20A7518E" w14:textId="399F1B0A" w:rsidR="003635DA" w:rsidRPr="00631E9C" w:rsidRDefault="003635DA" w:rsidP="003635DA">
            <w:pPr>
              <w:jc w:val="right"/>
              <w:rPr>
                <w:color w:val="000000"/>
                <w:sz w:val="22"/>
                <w:szCs w:val="22"/>
              </w:rPr>
            </w:pPr>
            <w:r>
              <w:rPr>
                <w:color w:val="000000"/>
                <w:sz w:val="22"/>
                <w:szCs w:val="22"/>
              </w:rPr>
              <w:t>309.292</w:t>
            </w:r>
          </w:p>
        </w:tc>
        <w:tc>
          <w:tcPr>
            <w:tcW w:w="1134" w:type="dxa"/>
            <w:tcBorders>
              <w:top w:val="nil"/>
              <w:left w:val="nil"/>
              <w:bottom w:val="single" w:sz="4" w:space="0" w:color="auto"/>
              <w:right w:val="single" w:sz="4" w:space="0" w:color="auto"/>
            </w:tcBorders>
            <w:shd w:val="clear" w:color="auto" w:fill="auto"/>
            <w:noWrap/>
            <w:vAlign w:val="center"/>
            <w:hideMark/>
          </w:tcPr>
          <w:p w14:paraId="4DF08356" w14:textId="69BA0363" w:rsidR="003635DA" w:rsidRPr="00631E9C" w:rsidRDefault="003635DA" w:rsidP="003635DA">
            <w:pPr>
              <w:jc w:val="right"/>
              <w:rPr>
                <w:color w:val="000000"/>
                <w:sz w:val="22"/>
                <w:szCs w:val="22"/>
              </w:rPr>
            </w:pPr>
            <w:r>
              <w:rPr>
                <w:color w:val="000000"/>
                <w:sz w:val="22"/>
                <w:szCs w:val="22"/>
              </w:rPr>
              <w:t>308.983</w:t>
            </w:r>
          </w:p>
        </w:tc>
        <w:tc>
          <w:tcPr>
            <w:tcW w:w="1134" w:type="dxa"/>
            <w:tcBorders>
              <w:top w:val="nil"/>
              <w:left w:val="nil"/>
              <w:bottom w:val="single" w:sz="4" w:space="0" w:color="auto"/>
              <w:right w:val="single" w:sz="4" w:space="0" w:color="auto"/>
            </w:tcBorders>
            <w:shd w:val="clear" w:color="auto" w:fill="auto"/>
            <w:noWrap/>
            <w:vAlign w:val="center"/>
            <w:hideMark/>
          </w:tcPr>
          <w:p w14:paraId="1EEB5069" w14:textId="26F5C1CD" w:rsidR="003635DA" w:rsidRPr="00631E9C" w:rsidRDefault="003635DA" w:rsidP="003635DA">
            <w:pPr>
              <w:jc w:val="right"/>
              <w:rPr>
                <w:color w:val="000000"/>
                <w:sz w:val="22"/>
                <w:szCs w:val="22"/>
              </w:rPr>
            </w:pPr>
            <w:r>
              <w:rPr>
                <w:color w:val="000000"/>
                <w:sz w:val="22"/>
                <w:szCs w:val="22"/>
              </w:rPr>
              <w:t>308.983</w:t>
            </w:r>
          </w:p>
        </w:tc>
        <w:tc>
          <w:tcPr>
            <w:tcW w:w="1130" w:type="dxa"/>
            <w:tcBorders>
              <w:top w:val="nil"/>
              <w:left w:val="nil"/>
              <w:bottom w:val="single" w:sz="4" w:space="0" w:color="auto"/>
              <w:right w:val="single" w:sz="4" w:space="0" w:color="auto"/>
            </w:tcBorders>
            <w:shd w:val="clear" w:color="auto" w:fill="auto"/>
            <w:noWrap/>
            <w:vAlign w:val="center"/>
            <w:hideMark/>
          </w:tcPr>
          <w:p w14:paraId="4478A1A3" w14:textId="72199AA3" w:rsidR="003635DA" w:rsidRPr="00631E9C" w:rsidRDefault="003635DA" w:rsidP="003635DA">
            <w:pPr>
              <w:jc w:val="right"/>
              <w:rPr>
                <w:color w:val="000000"/>
                <w:sz w:val="22"/>
                <w:szCs w:val="22"/>
              </w:rPr>
            </w:pPr>
            <w:r>
              <w:rPr>
                <w:color w:val="000000"/>
                <w:sz w:val="22"/>
                <w:szCs w:val="22"/>
              </w:rPr>
              <w:t>308.983</w:t>
            </w:r>
          </w:p>
        </w:tc>
      </w:tr>
      <w:tr w:rsidR="003635DA" w:rsidRPr="00631E9C" w14:paraId="67563A27" w14:textId="77777777" w:rsidTr="00C8557D">
        <w:trPr>
          <w:trHeight w:val="312"/>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7229EE12" w14:textId="77777777" w:rsidR="003635DA" w:rsidRPr="00631E9C" w:rsidRDefault="003635DA" w:rsidP="003635DA">
            <w:pPr>
              <w:jc w:val="left"/>
              <w:rPr>
                <w:color w:val="000000"/>
                <w:sz w:val="22"/>
                <w:szCs w:val="22"/>
              </w:rPr>
            </w:pPr>
            <w:r w:rsidRPr="00631E9C">
              <w:rPr>
                <w:color w:val="000000"/>
                <w:sz w:val="22"/>
                <w:szCs w:val="22"/>
              </w:rPr>
              <w:t>Ricavi derivanti dai corrispettivi riconosciuti dai sistemi collettivi di compliance</w:t>
            </w:r>
          </w:p>
        </w:tc>
        <w:tc>
          <w:tcPr>
            <w:tcW w:w="1276" w:type="dxa"/>
            <w:tcBorders>
              <w:top w:val="nil"/>
              <w:left w:val="nil"/>
              <w:bottom w:val="single" w:sz="4" w:space="0" w:color="auto"/>
              <w:right w:val="single" w:sz="4" w:space="0" w:color="auto"/>
            </w:tcBorders>
            <w:shd w:val="clear" w:color="000000" w:fill="FFFFFF"/>
            <w:noWrap/>
            <w:vAlign w:val="center"/>
            <w:hideMark/>
          </w:tcPr>
          <w:p w14:paraId="4D9F2DC3" w14:textId="77777777" w:rsidR="003635DA" w:rsidRPr="00631E9C" w:rsidRDefault="003635DA" w:rsidP="003635DA">
            <w:pPr>
              <w:jc w:val="left"/>
              <w:rPr>
                <w:b/>
                <w:bCs/>
                <w:i/>
                <w:iCs/>
                <w:color w:val="000000"/>
                <w:sz w:val="22"/>
                <w:szCs w:val="22"/>
              </w:rPr>
            </w:pPr>
            <w:r w:rsidRPr="00631E9C">
              <w:rPr>
                <w:b/>
                <w:bCs/>
                <w:i/>
                <w:iCs/>
                <w:color w:val="000000"/>
                <w:sz w:val="22"/>
                <w:szCs w:val="22"/>
              </w:rPr>
              <w:t>AR</w:t>
            </w:r>
            <w:r w:rsidRPr="00631E9C">
              <w:rPr>
                <w:b/>
                <w:bCs/>
                <w:i/>
                <w:iCs/>
                <w:color w:val="000000"/>
                <w:sz w:val="22"/>
                <w:szCs w:val="22"/>
                <w:vertAlign w:val="subscript"/>
              </w:rPr>
              <w:t>sc</w:t>
            </w:r>
          </w:p>
        </w:tc>
        <w:tc>
          <w:tcPr>
            <w:tcW w:w="1134" w:type="dxa"/>
            <w:tcBorders>
              <w:top w:val="nil"/>
              <w:left w:val="nil"/>
              <w:bottom w:val="single" w:sz="4" w:space="0" w:color="auto"/>
              <w:right w:val="single" w:sz="4" w:space="0" w:color="auto"/>
            </w:tcBorders>
            <w:shd w:val="clear" w:color="auto" w:fill="auto"/>
            <w:noWrap/>
            <w:vAlign w:val="center"/>
            <w:hideMark/>
          </w:tcPr>
          <w:p w14:paraId="6EAB6A2E" w14:textId="64654F05" w:rsidR="003635DA" w:rsidRPr="00631E9C" w:rsidRDefault="003635DA" w:rsidP="003635DA">
            <w:pPr>
              <w:jc w:val="right"/>
              <w:rPr>
                <w:color w:val="000000"/>
                <w:sz w:val="22"/>
                <w:szCs w:val="22"/>
              </w:rPr>
            </w:pPr>
            <w:r>
              <w:rPr>
                <w:color w:val="000000"/>
                <w:sz w:val="22"/>
                <w:szCs w:val="22"/>
              </w:rPr>
              <w:t>2.719.434</w:t>
            </w:r>
          </w:p>
        </w:tc>
        <w:tc>
          <w:tcPr>
            <w:tcW w:w="1134" w:type="dxa"/>
            <w:tcBorders>
              <w:top w:val="nil"/>
              <w:left w:val="nil"/>
              <w:bottom w:val="single" w:sz="4" w:space="0" w:color="auto"/>
              <w:right w:val="single" w:sz="4" w:space="0" w:color="auto"/>
            </w:tcBorders>
            <w:shd w:val="clear" w:color="auto" w:fill="auto"/>
            <w:noWrap/>
            <w:vAlign w:val="center"/>
            <w:hideMark/>
          </w:tcPr>
          <w:p w14:paraId="41154678" w14:textId="04D86D21" w:rsidR="003635DA" w:rsidRPr="00631E9C" w:rsidRDefault="003635DA" w:rsidP="003635DA">
            <w:pPr>
              <w:jc w:val="right"/>
              <w:rPr>
                <w:color w:val="000000"/>
                <w:sz w:val="22"/>
                <w:szCs w:val="22"/>
              </w:rPr>
            </w:pPr>
            <w:r>
              <w:rPr>
                <w:color w:val="000000"/>
                <w:sz w:val="22"/>
                <w:szCs w:val="22"/>
              </w:rPr>
              <w:t>2.716.717</w:t>
            </w:r>
          </w:p>
        </w:tc>
        <w:tc>
          <w:tcPr>
            <w:tcW w:w="1134" w:type="dxa"/>
            <w:tcBorders>
              <w:top w:val="nil"/>
              <w:left w:val="nil"/>
              <w:bottom w:val="single" w:sz="4" w:space="0" w:color="auto"/>
              <w:right w:val="single" w:sz="4" w:space="0" w:color="auto"/>
            </w:tcBorders>
            <w:shd w:val="clear" w:color="auto" w:fill="auto"/>
            <w:noWrap/>
            <w:vAlign w:val="center"/>
            <w:hideMark/>
          </w:tcPr>
          <w:p w14:paraId="683D48D3" w14:textId="76BFE02B" w:rsidR="003635DA" w:rsidRPr="00631E9C" w:rsidRDefault="003635DA" w:rsidP="003635DA">
            <w:pPr>
              <w:jc w:val="right"/>
              <w:rPr>
                <w:color w:val="000000"/>
                <w:sz w:val="22"/>
                <w:szCs w:val="22"/>
              </w:rPr>
            </w:pPr>
            <w:r>
              <w:rPr>
                <w:color w:val="000000"/>
                <w:sz w:val="22"/>
                <w:szCs w:val="22"/>
              </w:rPr>
              <w:t>2.716.717</w:t>
            </w:r>
          </w:p>
        </w:tc>
        <w:tc>
          <w:tcPr>
            <w:tcW w:w="1130" w:type="dxa"/>
            <w:tcBorders>
              <w:top w:val="nil"/>
              <w:left w:val="nil"/>
              <w:bottom w:val="single" w:sz="4" w:space="0" w:color="auto"/>
              <w:right w:val="single" w:sz="4" w:space="0" w:color="auto"/>
            </w:tcBorders>
            <w:shd w:val="clear" w:color="auto" w:fill="auto"/>
            <w:noWrap/>
            <w:vAlign w:val="center"/>
            <w:hideMark/>
          </w:tcPr>
          <w:p w14:paraId="121FC1B0" w14:textId="59039DA8" w:rsidR="003635DA" w:rsidRPr="00631E9C" w:rsidRDefault="003635DA" w:rsidP="003635DA">
            <w:pPr>
              <w:jc w:val="right"/>
              <w:rPr>
                <w:color w:val="000000"/>
                <w:sz w:val="22"/>
                <w:szCs w:val="22"/>
              </w:rPr>
            </w:pPr>
            <w:r>
              <w:rPr>
                <w:color w:val="000000"/>
                <w:sz w:val="22"/>
                <w:szCs w:val="22"/>
              </w:rPr>
              <w:t>2.716.717</w:t>
            </w:r>
          </w:p>
        </w:tc>
      </w:tr>
      <w:tr w:rsidR="003635DA" w:rsidRPr="00631E9C" w14:paraId="40898379" w14:textId="77777777" w:rsidTr="00C8557D">
        <w:trPr>
          <w:trHeight w:val="312"/>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7201D35D" w14:textId="77777777" w:rsidR="003635DA" w:rsidRPr="00631E9C" w:rsidRDefault="003635DA" w:rsidP="003635DA">
            <w:pPr>
              <w:jc w:val="left"/>
              <w:rPr>
                <w:color w:val="000000"/>
                <w:sz w:val="22"/>
                <w:szCs w:val="22"/>
              </w:rPr>
            </w:pPr>
            <w:r w:rsidRPr="00631E9C">
              <w:rPr>
                <w:color w:val="000000"/>
                <w:sz w:val="22"/>
                <w:szCs w:val="22"/>
              </w:rPr>
              <w:t>Componente a conguaglio relativa ai costi variabili</w:t>
            </w:r>
          </w:p>
        </w:tc>
        <w:tc>
          <w:tcPr>
            <w:tcW w:w="1276" w:type="dxa"/>
            <w:tcBorders>
              <w:top w:val="nil"/>
              <w:left w:val="nil"/>
              <w:bottom w:val="single" w:sz="4" w:space="0" w:color="auto"/>
              <w:right w:val="single" w:sz="4" w:space="0" w:color="auto"/>
            </w:tcBorders>
            <w:shd w:val="clear" w:color="000000" w:fill="FFFFFF"/>
            <w:noWrap/>
            <w:vAlign w:val="center"/>
            <w:hideMark/>
          </w:tcPr>
          <w:p w14:paraId="4B1697E3" w14:textId="77777777" w:rsidR="003635DA" w:rsidRPr="00631E9C" w:rsidRDefault="003635DA" w:rsidP="003635DA">
            <w:pPr>
              <w:jc w:val="left"/>
              <w:rPr>
                <w:b/>
                <w:bCs/>
                <w:i/>
                <w:iCs/>
                <w:color w:val="000000"/>
                <w:sz w:val="22"/>
                <w:szCs w:val="22"/>
              </w:rPr>
            </w:pPr>
            <w:r w:rsidRPr="00631E9C">
              <w:rPr>
                <w:b/>
                <w:bCs/>
                <w:i/>
                <w:iCs/>
                <w:color w:val="000000"/>
                <w:sz w:val="22"/>
                <w:szCs w:val="22"/>
              </w:rPr>
              <w:t>RCtot</w:t>
            </w:r>
            <w:r w:rsidRPr="00631E9C">
              <w:rPr>
                <w:b/>
                <w:bCs/>
                <w:i/>
                <w:iCs/>
                <w:color w:val="000000"/>
                <w:sz w:val="22"/>
                <w:szCs w:val="22"/>
                <w:vertAlign w:val="subscript"/>
              </w:rPr>
              <w:t>TV</w:t>
            </w:r>
          </w:p>
        </w:tc>
        <w:tc>
          <w:tcPr>
            <w:tcW w:w="1134" w:type="dxa"/>
            <w:tcBorders>
              <w:top w:val="nil"/>
              <w:left w:val="nil"/>
              <w:bottom w:val="single" w:sz="4" w:space="0" w:color="auto"/>
              <w:right w:val="single" w:sz="4" w:space="0" w:color="auto"/>
            </w:tcBorders>
            <w:shd w:val="clear" w:color="auto" w:fill="auto"/>
            <w:noWrap/>
            <w:vAlign w:val="center"/>
            <w:hideMark/>
          </w:tcPr>
          <w:p w14:paraId="3CCDB81B" w14:textId="50D7F635" w:rsidR="003635DA" w:rsidRPr="00631E9C" w:rsidRDefault="003635DA" w:rsidP="003635DA">
            <w:pPr>
              <w:jc w:val="right"/>
              <w:rPr>
                <w:color w:val="000000"/>
                <w:sz w:val="22"/>
                <w:szCs w:val="22"/>
              </w:rPr>
            </w:pPr>
            <w:r>
              <w:rPr>
                <w:color w:val="000000"/>
                <w:sz w:val="22"/>
                <w:szCs w:val="22"/>
              </w:rPr>
              <w:t>1.047.992</w:t>
            </w:r>
          </w:p>
        </w:tc>
        <w:tc>
          <w:tcPr>
            <w:tcW w:w="1134" w:type="dxa"/>
            <w:tcBorders>
              <w:top w:val="nil"/>
              <w:left w:val="nil"/>
              <w:bottom w:val="single" w:sz="4" w:space="0" w:color="auto"/>
              <w:right w:val="single" w:sz="4" w:space="0" w:color="auto"/>
            </w:tcBorders>
            <w:shd w:val="clear" w:color="auto" w:fill="auto"/>
            <w:noWrap/>
            <w:vAlign w:val="center"/>
            <w:hideMark/>
          </w:tcPr>
          <w:p w14:paraId="3B1CB914" w14:textId="7AF15AC5" w:rsidR="003635DA" w:rsidRPr="00631E9C" w:rsidRDefault="003635DA" w:rsidP="003635DA">
            <w:pPr>
              <w:jc w:val="right"/>
              <w:rPr>
                <w:color w:val="000000"/>
                <w:sz w:val="22"/>
                <w:szCs w:val="22"/>
              </w:rPr>
            </w:pPr>
            <w:r>
              <w:rPr>
                <w:color w:val="000000"/>
                <w:sz w:val="22"/>
                <w:szCs w:val="22"/>
              </w:rPr>
              <w:t>1.047.992</w:t>
            </w:r>
          </w:p>
        </w:tc>
        <w:tc>
          <w:tcPr>
            <w:tcW w:w="1134" w:type="dxa"/>
            <w:tcBorders>
              <w:top w:val="nil"/>
              <w:left w:val="nil"/>
              <w:bottom w:val="single" w:sz="4" w:space="0" w:color="auto"/>
              <w:right w:val="single" w:sz="4" w:space="0" w:color="auto"/>
            </w:tcBorders>
            <w:shd w:val="clear" w:color="auto" w:fill="auto"/>
            <w:noWrap/>
            <w:vAlign w:val="center"/>
            <w:hideMark/>
          </w:tcPr>
          <w:p w14:paraId="57F502DD" w14:textId="2316374D" w:rsidR="003635DA" w:rsidRPr="00631E9C" w:rsidRDefault="003635DA" w:rsidP="003635DA">
            <w:pPr>
              <w:jc w:val="right"/>
              <w:rPr>
                <w:color w:val="000000"/>
                <w:sz w:val="22"/>
                <w:szCs w:val="22"/>
              </w:rPr>
            </w:pPr>
            <w:r>
              <w:rPr>
                <w:color w:val="000000"/>
                <w:sz w:val="22"/>
                <w:szCs w:val="22"/>
              </w:rPr>
              <w:t>750.426</w:t>
            </w:r>
          </w:p>
        </w:tc>
        <w:tc>
          <w:tcPr>
            <w:tcW w:w="1130" w:type="dxa"/>
            <w:tcBorders>
              <w:top w:val="nil"/>
              <w:left w:val="nil"/>
              <w:bottom w:val="single" w:sz="4" w:space="0" w:color="auto"/>
              <w:right w:val="single" w:sz="4" w:space="0" w:color="auto"/>
            </w:tcBorders>
            <w:shd w:val="clear" w:color="auto" w:fill="auto"/>
            <w:noWrap/>
            <w:vAlign w:val="center"/>
            <w:hideMark/>
          </w:tcPr>
          <w:p w14:paraId="6D7BC6E0" w14:textId="0D280A5A" w:rsidR="003635DA" w:rsidRPr="00631E9C" w:rsidRDefault="003635DA" w:rsidP="003635DA">
            <w:pPr>
              <w:jc w:val="right"/>
              <w:rPr>
                <w:color w:val="000000"/>
                <w:sz w:val="22"/>
                <w:szCs w:val="22"/>
              </w:rPr>
            </w:pPr>
            <w:r>
              <w:rPr>
                <w:color w:val="000000"/>
                <w:sz w:val="22"/>
                <w:szCs w:val="22"/>
              </w:rPr>
              <w:t>0</w:t>
            </w:r>
          </w:p>
        </w:tc>
      </w:tr>
      <w:tr w:rsidR="003635DA" w:rsidRPr="00631E9C" w14:paraId="5C682FB7" w14:textId="77777777" w:rsidTr="00C8557D">
        <w:trPr>
          <w:trHeight w:val="28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76859BC9" w14:textId="77777777" w:rsidR="003635DA" w:rsidRPr="00631E9C" w:rsidRDefault="003635DA" w:rsidP="003635DA">
            <w:pPr>
              <w:jc w:val="left"/>
              <w:rPr>
                <w:color w:val="000000"/>
                <w:sz w:val="22"/>
                <w:szCs w:val="22"/>
              </w:rPr>
            </w:pPr>
            <w:r w:rsidRPr="00631E9C">
              <w:rPr>
                <w:color w:val="000000"/>
                <w:sz w:val="22"/>
                <w:szCs w:val="22"/>
              </w:rPr>
              <w:t>Costi dell’attività di spazzamento e di lavaggio</w:t>
            </w:r>
          </w:p>
        </w:tc>
        <w:tc>
          <w:tcPr>
            <w:tcW w:w="1276" w:type="dxa"/>
            <w:tcBorders>
              <w:top w:val="nil"/>
              <w:left w:val="nil"/>
              <w:bottom w:val="single" w:sz="4" w:space="0" w:color="auto"/>
              <w:right w:val="single" w:sz="4" w:space="0" w:color="auto"/>
            </w:tcBorders>
            <w:shd w:val="clear" w:color="000000" w:fill="FFFFFF"/>
            <w:noWrap/>
            <w:vAlign w:val="center"/>
            <w:hideMark/>
          </w:tcPr>
          <w:p w14:paraId="7EB65E42" w14:textId="77777777" w:rsidR="003635DA" w:rsidRPr="00631E9C" w:rsidRDefault="003635DA" w:rsidP="003635DA">
            <w:pPr>
              <w:jc w:val="left"/>
              <w:rPr>
                <w:b/>
                <w:bCs/>
                <w:i/>
                <w:iCs/>
                <w:color w:val="000000"/>
                <w:sz w:val="22"/>
                <w:szCs w:val="22"/>
              </w:rPr>
            </w:pPr>
            <w:r w:rsidRPr="00631E9C">
              <w:rPr>
                <w:b/>
                <w:bCs/>
                <w:i/>
                <w:iCs/>
                <w:color w:val="000000"/>
                <w:sz w:val="22"/>
                <w:szCs w:val="22"/>
              </w:rPr>
              <w:t>CSL</w:t>
            </w:r>
          </w:p>
        </w:tc>
        <w:tc>
          <w:tcPr>
            <w:tcW w:w="1134" w:type="dxa"/>
            <w:tcBorders>
              <w:top w:val="nil"/>
              <w:left w:val="nil"/>
              <w:bottom w:val="single" w:sz="4" w:space="0" w:color="auto"/>
              <w:right w:val="single" w:sz="4" w:space="0" w:color="auto"/>
            </w:tcBorders>
            <w:shd w:val="clear" w:color="auto" w:fill="auto"/>
            <w:noWrap/>
            <w:vAlign w:val="center"/>
            <w:hideMark/>
          </w:tcPr>
          <w:p w14:paraId="354B0E13" w14:textId="2FF05A83" w:rsidR="003635DA" w:rsidRPr="00631E9C" w:rsidRDefault="003635DA" w:rsidP="003635DA">
            <w:pPr>
              <w:jc w:val="right"/>
              <w:rPr>
                <w:color w:val="000000"/>
                <w:sz w:val="22"/>
                <w:szCs w:val="22"/>
              </w:rPr>
            </w:pPr>
            <w:r>
              <w:rPr>
                <w:color w:val="000000"/>
                <w:sz w:val="22"/>
                <w:szCs w:val="22"/>
              </w:rPr>
              <w:t>8.100.310</w:t>
            </w:r>
          </w:p>
        </w:tc>
        <w:tc>
          <w:tcPr>
            <w:tcW w:w="1134" w:type="dxa"/>
            <w:tcBorders>
              <w:top w:val="nil"/>
              <w:left w:val="nil"/>
              <w:bottom w:val="single" w:sz="4" w:space="0" w:color="auto"/>
              <w:right w:val="single" w:sz="4" w:space="0" w:color="auto"/>
            </w:tcBorders>
            <w:shd w:val="clear" w:color="auto" w:fill="auto"/>
            <w:noWrap/>
            <w:vAlign w:val="center"/>
            <w:hideMark/>
          </w:tcPr>
          <w:p w14:paraId="1B67D1BC" w14:textId="02801BB8" w:rsidR="003635DA" w:rsidRPr="00631E9C" w:rsidRDefault="003635DA" w:rsidP="003635DA">
            <w:pPr>
              <w:jc w:val="right"/>
              <w:rPr>
                <w:color w:val="000000"/>
                <w:sz w:val="22"/>
                <w:szCs w:val="22"/>
              </w:rPr>
            </w:pPr>
            <w:r>
              <w:rPr>
                <w:color w:val="000000"/>
                <w:sz w:val="22"/>
                <w:szCs w:val="22"/>
              </w:rPr>
              <w:t>8.237.877</w:t>
            </w:r>
          </w:p>
        </w:tc>
        <w:tc>
          <w:tcPr>
            <w:tcW w:w="1134" w:type="dxa"/>
            <w:tcBorders>
              <w:top w:val="nil"/>
              <w:left w:val="nil"/>
              <w:bottom w:val="single" w:sz="4" w:space="0" w:color="auto"/>
              <w:right w:val="single" w:sz="4" w:space="0" w:color="auto"/>
            </w:tcBorders>
            <w:shd w:val="clear" w:color="auto" w:fill="auto"/>
            <w:noWrap/>
            <w:vAlign w:val="center"/>
            <w:hideMark/>
          </w:tcPr>
          <w:p w14:paraId="78E5E32C" w14:textId="1FBFFDB4" w:rsidR="003635DA" w:rsidRPr="00631E9C" w:rsidRDefault="003635DA" w:rsidP="003635DA">
            <w:pPr>
              <w:jc w:val="right"/>
              <w:rPr>
                <w:color w:val="000000"/>
                <w:sz w:val="22"/>
                <w:szCs w:val="22"/>
              </w:rPr>
            </w:pPr>
            <w:r>
              <w:rPr>
                <w:color w:val="000000"/>
                <w:sz w:val="22"/>
                <w:szCs w:val="22"/>
              </w:rPr>
              <w:t>8.237.877</w:t>
            </w:r>
          </w:p>
        </w:tc>
        <w:tc>
          <w:tcPr>
            <w:tcW w:w="1130" w:type="dxa"/>
            <w:tcBorders>
              <w:top w:val="nil"/>
              <w:left w:val="nil"/>
              <w:bottom w:val="single" w:sz="4" w:space="0" w:color="auto"/>
              <w:right w:val="single" w:sz="4" w:space="0" w:color="auto"/>
            </w:tcBorders>
            <w:shd w:val="clear" w:color="auto" w:fill="auto"/>
            <w:noWrap/>
            <w:vAlign w:val="center"/>
            <w:hideMark/>
          </w:tcPr>
          <w:p w14:paraId="264912EF" w14:textId="4BC54E6A" w:rsidR="003635DA" w:rsidRPr="00631E9C" w:rsidRDefault="003635DA" w:rsidP="003635DA">
            <w:pPr>
              <w:jc w:val="right"/>
              <w:rPr>
                <w:color w:val="000000"/>
                <w:sz w:val="22"/>
                <w:szCs w:val="22"/>
              </w:rPr>
            </w:pPr>
            <w:r>
              <w:rPr>
                <w:color w:val="000000"/>
                <w:sz w:val="22"/>
                <w:szCs w:val="22"/>
              </w:rPr>
              <w:t>8.237.877</w:t>
            </w:r>
          </w:p>
        </w:tc>
      </w:tr>
      <w:tr w:rsidR="003635DA" w:rsidRPr="00631E9C" w14:paraId="6AEADEAE" w14:textId="77777777" w:rsidTr="00C8557D">
        <w:trPr>
          <w:trHeight w:val="28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23FB77F8" w14:textId="77777777" w:rsidR="003635DA" w:rsidRPr="00631E9C" w:rsidRDefault="003635DA" w:rsidP="003635DA">
            <w:pPr>
              <w:jc w:val="left"/>
              <w:rPr>
                <w:color w:val="000000"/>
                <w:sz w:val="22"/>
                <w:szCs w:val="22"/>
              </w:rPr>
            </w:pPr>
            <w:r w:rsidRPr="00631E9C">
              <w:rPr>
                <w:color w:val="000000"/>
                <w:sz w:val="22"/>
                <w:szCs w:val="22"/>
              </w:rPr>
              <w:t>Costi per l’attività di gestione delle tariffe e dei rapporti con gli utenti</w:t>
            </w:r>
          </w:p>
        </w:tc>
        <w:tc>
          <w:tcPr>
            <w:tcW w:w="1276" w:type="dxa"/>
            <w:tcBorders>
              <w:top w:val="nil"/>
              <w:left w:val="nil"/>
              <w:bottom w:val="single" w:sz="4" w:space="0" w:color="auto"/>
              <w:right w:val="single" w:sz="4" w:space="0" w:color="auto"/>
            </w:tcBorders>
            <w:shd w:val="clear" w:color="000000" w:fill="FFFFFF"/>
            <w:noWrap/>
            <w:vAlign w:val="center"/>
            <w:hideMark/>
          </w:tcPr>
          <w:p w14:paraId="01361B92" w14:textId="77777777" w:rsidR="003635DA" w:rsidRPr="00631E9C" w:rsidRDefault="003635DA" w:rsidP="003635DA">
            <w:pPr>
              <w:jc w:val="left"/>
              <w:rPr>
                <w:b/>
                <w:bCs/>
                <w:i/>
                <w:iCs/>
                <w:color w:val="000000"/>
                <w:sz w:val="22"/>
                <w:szCs w:val="22"/>
              </w:rPr>
            </w:pPr>
            <w:r w:rsidRPr="00631E9C">
              <w:rPr>
                <w:b/>
                <w:bCs/>
                <w:i/>
                <w:iCs/>
                <w:color w:val="000000"/>
                <w:sz w:val="22"/>
                <w:szCs w:val="22"/>
              </w:rPr>
              <w:t>CARC</w:t>
            </w:r>
          </w:p>
        </w:tc>
        <w:tc>
          <w:tcPr>
            <w:tcW w:w="1134" w:type="dxa"/>
            <w:tcBorders>
              <w:top w:val="nil"/>
              <w:left w:val="nil"/>
              <w:bottom w:val="single" w:sz="4" w:space="0" w:color="auto"/>
              <w:right w:val="single" w:sz="4" w:space="0" w:color="auto"/>
            </w:tcBorders>
            <w:shd w:val="clear" w:color="auto" w:fill="auto"/>
            <w:noWrap/>
            <w:vAlign w:val="center"/>
            <w:hideMark/>
          </w:tcPr>
          <w:p w14:paraId="13CC658A" w14:textId="11B23064"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23602D23" w14:textId="51D3FBC9"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3BB05A10" w14:textId="5E957D63" w:rsidR="003635DA" w:rsidRPr="00631E9C" w:rsidRDefault="003635DA" w:rsidP="003635DA">
            <w:pPr>
              <w:jc w:val="right"/>
              <w:rPr>
                <w:color w:val="000000"/>
                <w:sz w:val="22"/>
                <w:szCs w:val="22"/>
              </w:rPr>
            </w:pPr>
            <w:r>
              <w:rPr>
                <w:color w:val="000000"/>
                <w:sz w:val="22"/>
                <w:szCs w:val="22"/>
              </w:rPr>
              <w:t>0</w:t>
            </w:r>
          </w:p>
        </w:tc>
        <w:tc>
          <w:tcPr>
            <w:tcW w:w="1130" w:type="dxa"/>
            <w:tcBorders>
              <w:top w:val="nil"/>
              <w:left w:val="nil"/>
              <w:bottom w:val="single" w:sz="4" w:space="0" w:color="auto"/>
              <w:right w:val="single" w:sz="4" w:space="0" w:color="auto"/>
            </w:tcBorders>
            <w:shd w:val="clear" w:color="auto" w:fill="auto"/>
            <w:noWrap/>
            <w:vAlign w:val="center"/>
            <w:hideMark/>
          </w:tcPr>
          <w:p w14:paraId="777BFECC" w14:textId="758B951B" w:rsidR="003635DA" w:rsidRPr="00631E9C" w:rsidRDefault="003635DA" w:rsidP="003635DA">
            <w:pPr>
              <w:jc w:val="right"/>
              <w:rPr>
                <w:color w:val="000000"/>
                <w:sz w:val="22"/>
                <w:szCs w:val="22"/>
              </w:rPr>
            </w:pPr>
            <w:r>
              <w:rPr>
                <w:color w:val="000000"/>
                <w:sz w:val="22"/>
                <w:szCs w:val="22"/>
              </w:rPr>
              <w:t>0</w:t>
            </w:r>
          </w:p>
        </w:tc>
      </w:tr>
      <w:tr w:rsidR="003635DA" w:rsidRPr="00631E9C" w14:paraId="448F4957" w14:textId="77777777" w:rsidTr="00C8557D">
        <w:trPr>
          <w:trHeight w:val="28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4F6D9BBE" w14:textId="77777777" w:rsidR="003635DA" w:rsidRPr="00631E9C" w:rsidRDefault="003635DA" w:rsidP="003635DA">
            <w:pPr>
              <w:jc w:val="left"/>
              <w:rPr>
                <w:color w:val="000000"/>
                <w:sz w:val="22"/>
                <w:szCs w:val="22"/>
              </w:rPr>
            </w:pPr>
            <w:r w:rsidRPr="00631E9C">
              <w:rPr>
                <w:color w:val="000000"/>
                <w:sz w:val="22"/>
                <w:szCs w:val="22"/>
              </w:rPr>
              <w:t>Costi generali di gestione</w:t>
            </w:r>
          </w:p>
        </w:tc>
        <w:tc>
          <w:tcPr>
            <w:tcW w:w="1276" w:type="dxa"/>
            <w:tcBorders>
              <w:top w:val="nil"/>
              <w:left w:val="nil"/>
              <w:bottom w:val="single" w:sz="4" w:space="0" w:color="auto"/>
              <w:right w:val="single" w:sz="4" w:space="0" w:color="auto"/>
            </w:tcBorders>
            <w:shd w:val="clear" w:color="000000" w:fill="FFFFFF"/>
            <w:noWrap/>
            <w:vAlign w:val="center"/>
            <w:hideMark/>
          </w:tcPr>
          <w:p w14:paraId="3AFC9C78" w14:textId="77777777" w:rsidR="003635DA" w:rsidRPr="00631E9C" w:rsidRDefault="003635DA" w:rsidP="003635DA">
            <w:pPr>
              <w:jc w:val="left"/>
              <w:rPr>
                <w:b/>
                <w:bCs/>
                <w:i/>
                <w:iCs/>
                <w:color w:val="000000"/>
                <w:sz w:val="22"/>
                <w:szCs w:val="22"/>
              </w:rPr>
            </w:pPr>
            <w:r w:rsidRPr="00631E9C">
              <w:rPr>
                <w:b/>
                <w:bCs/>
                <w:i/>
                <w:iCs/>
                <w:color w:val="000000"/>
                <w:sz w:val="22"/>
                <w:szCs w:val="22"/>
              </w:rPr>
              <w:t>CGG</w:t>
            </w:r>
          </w:p>
        </w:tc>
        <w:tc>
          <w:tcPr>
            <w:tcW w:w="1134" w:type="dxa"/>
            <w:tcBorders>
              <w:top w:val="nil"/>
              <w:left w:val="nil"/>
              <w:bottom w:val="single" w:sz="4" w:space="0" w:color="auto"/>
              <w:right w:val="single" w:sz="4" w:space="0" w:color="auto"/>
            </w:tcBorders>
            <w:shd w:val="clear" w:color="auto" w:fill="auto"/>
            <w:noWrap/>
            <w:vAlign w:val="center"/>
            <w:hideMark/>
          </w:tcPr>
          <w:p w14:paraId="080B7646" w14:textId="79E7A61C" w:rsidR="003635DA" w:rsidRPr="00631E9C" w:rsidRDefault="003635DA" w:rsidP="003635DA">
            <w:pPr>
              <w:jc w:val="right"/>
              <w:rPr>
                <w:color w:val="000000"/>
                <w:sz w:val="22"/>
                <w:szCs w:val="22"/>
              </w:rPr>
            </w:pPr>
            <w:r>
              <w:rPr>
                <w:color w:val="000000"/>
                <w:sz w:val="22"/>
                <w:szCs w:val="22"/>
              </w:rPr>
              <w:t>2.639.908</w:t>
            </w:r>
          </w:p>
        </w:tc>
        <w:tc>
          <w:tcPr>
            <w:tcW w:w="1134" w:type="dxa"/>
            <w:tcBorders>
              <w:top w:val="nil"/>
              <w:left w:val="nil"/>
              <w:bottom w:val="single" w:sz="4" w:space="0" w:color="auto"/>
              <w:right w:val="single" w:sz="4" w:space="0" w:color="auto"/>
            </w:tcBorders>
            <w:shd w:val="clear" w:color="auto" w:fill="auto"/>
            <w:noWrap/>
            <w:vAlign w:val="center"/>
            <w:hideMark/>
          </w:tcPr>
          <w:p w14:paraId="3AC50444" w14:textId="1477D1BA" w:rsidR="003635DA" w:rsidRPr="00631E9C" w:rsidRDefault="003635DA" w:rsidP="003635DA">
            <w:pPr>
              <w:jc w:val="right"/>
              <w:rPr>
                <w:color w:val="000000"/>
                <w:sz w:val="22"/>
                <w:szCs w:val="22"/>
              </w:rPr>
            </w:pPr>
            <w:r>
              <w:rPr>
                <w:color w:val="000000"/>
                <w:sz w:val="22"/>
                <w:szCs w:val="22"/>
              </w:rPr>
              <w:t>2.684.742</w:t>
            </w:r>
          </w:p>
        </w:tc>
        <w:tc>
          <w:tcPr>
            <w:tcW w:w="1134" w:type="dxa"/>
            <w:tcBorders>
              <w:top w:val="nil"/>
              <w:left w:val="nil"/>
              <w:bottom w:val="single" w:sz="4" w:space="0" w:color="auto"/>
              <w:right w:val="single" w:sz="4" w:space="0" w:color="auto"/>
            </w:tcBorders>
            <w:shd w:val="clear" w:color="auto" w:fill="auto"/>
            <w:noWrap/>
            <w:vAlign w:val="center"/>
            <w:hideMark/>
          </w:tcPr>
          <w:p w14:paraId="33417E52" w14:textId="744EC5EB" w:rsidR="003635DA" w:rsidRPr="00631E9C" w:rsidRDefault="003635DA" w:rsidP="003635DA">
            <w:pPr>
              <w:jc w:val="right"/>
              <w:rPr>
                <w:color w:val="000000"/>
                <w:sz w:val="22"/>
                <w:szCs w:val="22"/>
              </w:rPr>
            </w:pPr>
            <w:r>
              <w:rPr>
                <w:color w:val="000000"/>
                <w:sz w:val="22"/>
                <w:szCs w:val="22"/>
              </w:rPr>
              <w:t>2.684.742</w:t>
            </w:r>
          </w:p>
        </w:tc>
        <w:tc>
          <w:tcPr>
            <w:tcW w:w="1130" w:type="dxa"/>
            <w:tcBorders>
              <w:top w:val="nil"/>
              <w:left w:val="nil"/>
              <w:bottom w:val="single" w:sz="4" w:space="0" w:color="auto"/>
              <w:right w:val="single" w:sz="4" w:space="0" w:color="auto"/>
            </w:tcBorders>
            <w:shd w:val="clear" w:color="auto" w:fill="auto"/>
            <w:noWrap/>
            <w:vAlign w:val="center"/>
            <w:hideMark/>
          </w:tcPr>
          <w:p w14:paraId="7297CC8E" w14:textId="1576FF78" w:rsidR="003635DA" w:rsidRPr="00631E9C" w:rsidRDefault="003635DA" w:rsidP="003635DA">
            <w:pPr>
              <w:jc w:val="right"/>
              <w:rPr>
                <w:color w:val="000000"/>
                <w:sz w:val="22"/>
                <w:szCs w:val="22"/>
              </w:rPr>
            </w:pPr>
            <w:r>
              <w:rPr>
                <w:color w:val="000000"/>
                <w:sz w:val="22"/>
                <w:szCs w:val="22"/>
              </w:rPr>
              <w:t>2.684.742</w:t>
            </w:r>
          </w:p>
        </w:tc>
      </w:tr>
      <w:tr w:rsidR="003635DA" w:rsidRPr="00631E9C" w14:paraId="6E0DA15F" w14:textId="77777777" w:rsidTr="00C8557D">
        <w:trPr>
          <w:trHeight w:val="28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47FD5BDB" w14:textId="77777777" w:rsidR="003635DA" w:rsidRPr="00631E9C" w:rsidRDefault="003635DA" w:rsidP="003635DA">
            <w:pPr>
              <w:jc w:val="left"/>
              <w:rPr>
                <w:color w:val="000000"/>
                <w:sz w:val="22"/>
                <w:szCs w:val="22"/>
              </w:rPr>
            </w:pPr>
            <w:r w:rsidRPr="00631E9C">
              <w:rPr>
                <w:color w:val="000000"/>
                <w:sz w:val="22"/>
                <w:szCs w:val="22"/>
              </w:rPr>
              <w:t>Costi relativi alla quota di crediti inesigibili</w:t>
            </w:r>
          </w:p>
        </w:tc>
        <w:tc>
          <w:tcPr>
            <w:tcW w:w="1276" w:type="dxa"/>
            <w:tcBorders>
              <w:top w:val="nil"/>
              <w:left w:val="nil"/>
              <w:bottom w:val="single" w:sz="4" w:space="0" w:color="auto"/>
              <w:right w:val="single" w:sz="4" w:space="0" w:color="auto"/>
            </w:tcBorders>
            <w:shd w:val="clear" w:color="000000" w:fill="FFFFFF"/>
            <w:noWrap/>
            <w:vAlign w:val="center"/>
            <w:hideMark/>
          </w:tcPr>
          <w:p w14:paraId="5DB9C4D0" w14:textId="77777777" w:rsidR="003635DA" w:rsidRPr="00631E9C" w:rsidRDefault="003635DA" w:rsidP="003635DA">
            <w:pPr>
              <w:jc w:val="left"/>
              <w:rPr>
                <w:b/>
                <w:bCs/>
                <w:i/>
                <w:iCs/>
                <w:color w:val="000000"/>
                <w:sz w:val="22"/>
                <w:szCs w:val="22"/>
              </w:rPr>
            </w:pPr>
            <w:r w:rsidRPr="00631E9C">
              <w:rPr>
                <w:b/>
                <w:bCs/>
                <w:i/>
                <w:iCs/>
                <w:color w:val="000000"/>
                <w:sz w:val="22"/>
                <w:szCs w:val="22"/>
              </w:rPr>
              <w:t>CCD</w:t>
            </w:r>
          </w:p>
        </w:tc>
        <w:tc>
          <w:tcPr>
            <w:tcW w:w="1134" w:type="dxa"/>
            <w:tcBorders>
              <w:top w:val="nil"/>
              <w:left w:val="nil"/>
              <w:bottom w:val="single" w:sz="4" w:space="0" w:color="auto"/>
              <w:right w:val="single" w:sz="4" w:space="0" w:color="auto"/>
            </w:tcBorders>
            <w:shd w:val="clear" w:color="auto" w:fill="auto"/>
            <w:noWrap/>
            <w:vAlign w:val="center"/>
            <w:hideMark/>
          </w:tcPr>
          <w:p w14:paraId="3AC03AC0" w14:textId="7A365ED1"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7B9AB3C2" w14:textId="499B2E15"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78EF1BC6" w14:textId="7BE94188" w:rsidR="003635DA" w:rsidRPr="00631E9C" w:rsidRDefault="003635DA" w:rsidP="003635DA">
            <w:pPr>
              <w:jc w:val="right"/>
              <w:rPr>
                <w:color w:val="000000"/>
                <w:sz w:val="22"/>
                <w:szCs w:val="22"/>
              </w:rPr>
            </w:pPr>
            <w:r>
              <w:rPr>
                <w:color w:val="000000"/>
                <w:sz w:val="22"/>
                <w:szCs w:val="22"/>
              </w:rPr>
              <w:t>0</w:t>
            </w:r>
          </w:p>
        </w:tc>
        <w:tc>
          <w:tcPr>
            <w:tcW w:w="1130" w:type="dxa"/>
            <w:tcBorders>
              <w:top w:val="nil"/>
              <w:left w:val="nil"/>
              <w:bottom w:val="single" w:sz="4" w:space="0" w:color="auto"/>
              <w:right w:val="single" w:sz="4" w:space="0" w:color="auto"/>
            </w:tcBorders>
            <w:shd w:val="clear" w:color="auto" w:fill="auto"/>
            <w:noWrap/>
            <w:vAlign w:val="center"/>
            <w:hideMark/>
          </w:tcPr>
          <w:p w14:paraId="08097657" w14:textId="68C2D8BB" w:rsidR="003635DA" w:rsidRPr="00631E9C" w:rsidRDefault="003635DA" w:rsidP="003635DA">
            <w:pPr>
              <w:jc w:val="right"/>
              <w:rPr>
                <w:color w:val="000000"/>
                <w:sz w:val="22"/>
                <w:szCs w:val="22"/>
              </w:rPr>
            </w:pPr>
            <w:r>
              <w:rPr>
                <w:color w:val="000000"/>
                <w:sz w:val="22"/>
                <w:szCs w:val="22"/>
              </w:rPr>
              <w:t>0</w:t>
            </w:r>
          </w:p>
        </w:tc>
      </w:tr>
      <w:tr w:rsidR="003635DA" w:rsidRPr="00631E9C" w14:paraId="2F1270B2" w14:textId="77777777" w:rsidTr="00C8557D">
        <w:trPr>
          <w:trHeight w:val="312"/>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1BF4BB71" w14:textId="77777777" w:rsidR="003635DA" w:rsidRPr="00631E9C" w:rsidRDefault="003635DA" w:rsidP="003635DA">
            <w:pPr>
              <w:jc w:val="left"/>
              <w:rPr>
                <w:color w:val="000000"/>
                <w:sz w:val="22"/>
                <w:szCs w:val="22"/>
              </w:rPr>
            </w:pPr>
            <w:r w:rsidRPr="00631E9C">
              <w:rPr>
                <w:color w:val="000000"/>
                <w:sz w:val="22"/>
                <w:szCs w:val="22"/>
              </w:rPr>
              <w:t>Altri costi</w:t>
            </w:r>
          </w:p>
        </w:tc>
        <w:tc>
          <w:tcPr>
            <w:tcW w:w="1276" w:type="dxa"/>
            <w:tcBorders>
              <w:top w:val="nil"/>
              <w:left w:val="nil"/>
              <w:bottom w:val="single" w:sz="4" w:space="0" w:color="auto"/>
              <w:right w:val="single" w:sz="4" w:space="0" w:color="auto"/>
            </w:tcBorders>
            <w:shd w:val="clear" w:color="000000" w:fill="FFFFFF"/>
            <w:noWrap/>
            <w:vAlign w:val="center"/>
            <w:hideMark/>
          </w:tcPr>
          <w:p w14:paraId="16C79055" w14:textId="77777777" w:rsidR="003635DA" w:rsidRPr="00631E9C" w:rsidRDefault="003635DA" w:rsidP="003635DA">
            <w:pPr>
              <w:jc w:val="left"/>
              <w:rPr>
                <w:b/>
                <w:bCs/>
                <w:i/>
                <w:iCs/>
                <w:color w:val="000000"/>
                <w:sz w:val="22"/>
                <w:szCs w:val="22"/>
              </w:rPr>
            </w:pPr>
            <w:r w:rsidRPr="00631E9C">
              <w:rPr>
                <w:b/>
                <w:bCs/>
                <w:i/>
                <w:iCs/>
                <w:color w:val="000000"/>
                <w:sz w:val="22"/>
                <w:szCs w:val="22"/>
              </w:rPr>
              <w:t>CO</w:t>
            </w:r>
            <w:r w:rsidRPr="00631E9C">
              <w:rPr>
                <w:b/>
                <w:bCs/>
                <w:i/>
                <w:iCs/>
                <w:color w:val="000000"/>
                <w:sz w:val="22"/>
                <w:szCs w:val="22"/>
                <w:vertAlign w:val="subscript"/>
              </w:rPr>
              <w:t>AL</w:t>
            </w:r>
          </w:p>
        </w:tc>
        <w:tc>
          <w:tcPr>
            <w:tcW w:w="1134" w:type="dxa"/>
            <w:tcBorders>
              <w:top w:val="nil"/>
              <w:left w:val="nil"/>
              <w:bottom w:val="single" w:sz="4" w:space="0" w:color="auto"/>
              <w:right w:val="single" w:sz="4" w:space="0" w:color="auto"/>
            </w:tcBorders>
            <w:shd w:val="clear" w:color="auto" w:fill="auto"/>
            <w:noWrap/>
            <w:vAlign w:val="center"/>
            <w:hideMark/>
          </w:tcPr>
          <w:p w14:paraId="00F8BBCA" w14:textId="4E5A240A" w:rsidR="003635DA" w:rsidRPr="00631E9C" w:rsidRDefault="003635DA" w:rsidP="003635DA">
            <w:pPr>
              <w:jc w:val="right"/>
              <w:rPr>
                <w:color w:val="000000"/>
                <w:sz w:val="22"/>
                <w:szCs w:val="22"/>
              </w:rPr>
            </w:pPr>
            <w:r>
              <w:rPr>
                <w:color w:val="000000"/>
                <w:sz w:val="22"/>
                <w:szCs w:val="22"/>
              </w:rPr>
              <w:t>8.727</w:t>
            </w:r>
          </w:p>
        </w:tc>
        <w:tc>
          <w:tcPr>
            <w:tcW w:w="1134" w:type="dxa"/>
            <w:tcBorders>
              <w:top w:val="nil"/>
              <w:left w:val="nil"/>
              <w:bottom w:val="single" w:sz="4" w:space="0" w:color="auto"/>
              <w:right w:val="single" w:sz="4" w:space="0" w:color="auto"/>
            </w:tcBorders>
            <w:shd w:val="clear" w:color="auto" w:fill="auto"/>
            <w:noWrap/>
            <w:vAlign w:val="center"/>
            <w:hideMark/>
          </w:tcPr>
          <w:p w14:paraId="6148DC9E" w14:textId="7D5E72B4" w:rsidR="003635DA" w:rsidRPr="00631E9C" w:rsidRDefault="003635DA" w:rsidP="003635DA">
            <w:pPr>
              <w:jc w:val="right"/>
              <w:rPr>
                <w:color w:val="000000"/>
                <w:sz w:val="22"/>
                <w:szCs w:val="22"/>
              </w:rPr>
            </w:pPr>
            <w:r>
              <w:rPr>
                <w:color w:val="000000"/>
                <w:sz w:val="22"/>
                <w:szCs w:val="22"/>
              </w:rPr>
              <w:t>8.875</w:t>
            </w:r>
          </w:p>
        </w:tc>
        <w:tc>
          <w:tcPr>
            <w:tcW w:w="1134" w:type="dxa"/>
            <w:tcBorders>
              <w:top w:val="nil"/>
              <w:left w:val="nil"/>
              <w:bottom w:val="single" w:sz="4" w:space="0" w:color="auto"/>
              <w:right w:val="single" w:sz="4" w:space="0" w:color="auto"/>
            </w:tcBorders>
            <w:shd w:val="clear" w:color="auto" w:fill="auto"/>
            <w:noWrap/>
            <w:vAlign w:val="center"/>
            <w:hideMark/>
          </w:tcPr>
          <w:p w14:paraId="434487FE" w14:textId="1F2A0D62" w:rsidR="003635DA" w:rsidRPr="00631E9C" w:rsidRDefault="003635DA" w:rsidP="003635DA">
            <w:pPr>
              <w:jc w:val="right"/>
              <w:rPr>
                <w:color w:val="000000"/>
                <w:sz w:val="22"/>
                <w:szCs w:val="22"/>
              </w:rPr>
            </w:pPr>
            <w:r>
              <w:rPr>
                <w:color w:val="000000"/>
                <w:sz w:val="22"/>
                <w:szCs w:val="22"/>
              </w:rPr>
              <w:t>8.875</w:t>
            </w:r>
          </w:p>
        </w:tc>
        <w:tc>
          <w:tcPr>
            <w:tcW w:w="1130" w:type="dxa"/>
            <w:tcBorders>
              <w:top w:val="nil"/>
              <w:left w:val="nil"/>
              <w:bottom w:val="single" w:sz="4" w:space="0" w:color="auto"/>
              <w:right w:val="single" w:sz="4" w:space="0" w:color="auto"/>
            </w:tcBorders>
            <w:shd w:val="clear" w:color="auto" w:fill="auto"/>
            <w:noWrap/>
            <w:vAlign w:val="center"/>
            <w:hideMark/>
          </w:tcPr>
          <w:p w14:paraId="37220479" w14:textId="3B719B84" w:rsidR="003635DA" w:rsidRPr="00631E9C" w:rsidRDefault="003635DA" w:rsidP="003635DA">
            <w:pPr>
              <w:jc w:val="right"/>
              <w:rPr>
                <w:color w:val="000000"/>
                <w:sz w:val="22"/>
                <w:szCs w:val="22"/>
              </w:rPr>
            </w:pPr>
            <w:r>
              <w:rPr>
                <w:color w:val="000000"/>
                <w:sz w:val="22"/>
                <w:szCs w:val="22"/>
              </w:rPr>
              <w:t>8.875</w:t>
            </w:r>
          </w:p>
        </w:tc>
      </w:tr>
      <w:tr w:rsidR="003635DA" w:rsidRPr="00631E9C" w14:paraId="079C8FCB" w14:textId="77777777" w:rsidTr="00C8557D">
        <w:trPr>
          <w:trHeight w:val="28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717A353A" w14:textId="77777777" w:rsidR="003635DA" w:rsidRPr="00631E9C" w:rsidRDefault="003635DA" w:rsidP="003635DA">
            <w:pPr>
              <w:jc w:val="left"/>
              <w:rPr>
                <w:color w:val="000000"/>
                <w:sz w:val="22"/>
                <w:szCs w:val="22"/>
              </w:rPr>
            </w:pPr>
            <w:r w:rsidRPr="00631E9C">
              <w:rPr>
                <w:color w:val="000000"/>
                <w:sz w:val="22"/>
                <w:szCs w:val="22"/>
              </w:rPr>
              <w:t>Costi d'uso del capitale</w:t>
            </w:r>
          </w:p>
        </w:tc>
        <w:tc>
          <w:tcPr>
            <w:tcW w:w="1276" w:type="dxa"/>
            <w:tcBorders>
              <w:top w:val="nil"/>
              <w:left w:val="nil"/>
              <w:bottom w:val="single" w:sz="4" w:space="0" w:color="auto"/>
              <w:right w:val="single" w:sz="4" w:space="0" w:color="auto"/>
            </w:tcBorders>
            <w:shd w:val="clear" w:color="000000" w:fill="FFFFFF"/>
            <w:noWrap/>
            <w:vAlign w:val="center"/>
            <w:hideMark/>
          </w:tcPr>
          <w:p w14:paraId="7858E6BB" w14:textId="77777777" w:rsidR="003635DA" w:rsidRPr="00631E9C" w:rsidRDefault="003635DA" w:rsidP="003635DA">
            <w:pPr>
              <w:jc w:val="left"/>
              <w:rPr>
                <w:b/>
                <w:bCs/>
                <w:i/>
                <w:iCs/>
                <w:color w:val="000000"/>
                <w:sz w:val="22"/>
                <w:szCs w:val="22"/>
              </w:rPr>
            </w:pPr>
            <w:r w:rsidRPr="00631E9C">
              <w:rPr>
                <w:b/>
                <w:bCs/>
                <w:i/>
                <w:iCs/>
                <w:color w:val="000000"/>
                <w:sz w:val="22"/>
                <w:szCs w:val="22"/>
              </w:rPr>
              <w:t>CK</w:t>
            </w:r>
          </w:p>
        </w:tc>
        <w:tc>
          <w:tcPr>
            <w:tcW w:w="1134" w:type="dxa"/>
            <w:tcBorders>
              <w:top w:val="nil"/>
              <w:left w:val="nil"/>
              <w:bottom w:val="single" w:sz="4" w:space="0" w:color="auto"/>
              <w:right w:val="single" w:sz="4" w:space="0" w:color="auto"/>
            </w:tcBorders>
            <w:shd w:val="clear" w:color="auto" w:fill="auto"/>
            <w:noWrap/>
            <w:vAlign w:val="center"/>
            <w:hideMark/>
          </w:tcPr>
          <w:p w14:paraId="05988D19" w14:textId="7D70DA38" w:rsidR="003635DA" w:rsidRPr="00631E9C" w:rsidRDefault="003635DA" w:rsidP="003635DA">
            <w:pPr>
              <w:jc w:val="right"/>
              <w:rPr>
                <w:color w:val="000000"/>
                <w:sz w:val="22"/>
                <w:szCs w:val="22"/>
              </w:rPr>
            </w:pPr>
            <w:r>
              <w:rPr>
                <w:color w:val="000000"/>
                <w:sz w:val="22"/>
                <w:szCs w:val="22"/>
              </w:rPr>
              <w:t>2.782.554</w:t>
            </w:r>
          </w:p>
        </w:tc>
        <w:tc>
          <w:tcPr>
            <w:tcW w:w="1134" w:type="dxa"/>
            <w:tcBorders>
              <w:top w:val="nil"/>
              <w:left w:val="nil"/>
              <w:bottom w:val="single" w:sz="4" w:space="0" w:color="auto"/>
              <w:right w:val="single" w:sz="4" w:space="0" w:color="auto"/>
            </w:tcBorders>
            <w:shd w:val="clear" w:color="auto" w:fill="auto"/>
            <w:noWrap/>
            <w:vAlign w:val="center"/>
            <w:hideMark/>
          </w:tcPr>
          <w:p w14:paraId="4869A09E" w14:textId="112183A5" w:rsidR="003635DA" w:rsidRPr="00631E9C" w:rsidRDefault="003635DA" w:rsidP="003635DA">
            <w:pPr>
              <w:jc w:val="right"/>
              <w:rPr>
                <w:color w:val="000000"/>
                <w:sz w:val="22"/>
                <w:szCs w:val="22"/>
              </w:rPr>
            </w:pPr>
            <w:r>
              <w:rPr>
                <w:color w:val="000000"/>
                <w:sz w:val="22"/>
                <w:szCs w:val="22"/>
              </w:rPr>
              <w:t>2.509.952</w:t>
            </w:r>
          </w:p>
        </w:tc>
        <w:tc>
          <w:tcPr>
            <w:tcW w:w="1134" w:type="dxa"/>
            <w:tcBorders>
              <w:top w:val="nil"/>
              <w:left w:val="nil"/>
              <w:bottom w:val="single" w:sz="4" w:space="0" w:color="auto"/>
              <w:right w:val="single" w:sz="4" w:space="0" w:color="auto"/>
            </w:tcBorders>
            <w:shd w:val="clear" w:color="auto" w:fill="auto"/>
            <w:noWrap/>
            <w:vAlign w:val="center"/>
            <w:hideMark/>
          </w:tcPr>
          <w:p w14:paraId="1743B181" w14:textId="7468C8DA" w:rsidR="003635DA" w:rsidRPr="00631E9C" w:rsidRDefault="003635DA" w:rsidP="003635DA">
            <w:pPr>
              <w:jc w:val="right"/>
              <w:rPr>
                <w:color w:val="000000"/>
                <w:sz w:val="22"/>
                <w:szCs w:val="22"/>
              </w:rPr>
            </w:pPr>
            <w:r>
              <w:rPr>
                <w:color w:val="000000"/>
                <w:sz w:val="22"/>
                <w:szCs w:val="22"/>
              </w:rPr>
              <w:t>2.413.546</w:t>
            </w:r>
          </w:p>
        </w:tc>
        <w:tc>
          <w:tcPr>
            <w:tcW w:w="1130" w:type="dxa"/>
            <w:tcBorders>
              <w:top w:val="nil"/>
              <w:left w:val="nil"/>
              <w:bottom w:val="single" w:sz="4" w:space="0" w:color="auto"/>
              <w:right w:val="single" w:sz="4" w:space="0" w:color="auto"/>
            </w:tcBorders>
            <w:shd w:val="clear" w:color="auto" w:fill="auto"/>
            <w:noWrap/>
            <w:vAlign w:val="center"/>
            <w:hideMark/>
          </w:tcPr>
          <w:p w14:paraId="1AFD6F1E" w14:textId="37C3B2B0" w:rsidR="003635DA" w:rsidRPr="00631E9C" w:rsidRDefault="003635DA" w:rsidP="003635DA">
            <w:pPr>
              <w:jc w:val="right"/>
              <w:rPr>
                <w:color w:val="000000"/>
                <w:sz w:val="22"/>
                <w:szCs w:val="22"/>
              </w:rPr>
            </w:pPr>
            <w:r>
              <w:rPr>
                <w:color w:val="000000"/>
                <w:sz w:val="22"/>
                <w:szCs w:val="22"/>
              </w:rPr>
              <w:t>2.499.221</w:t>
            </w:r>
          </w:p>
        </w:tc>
      </w:tr>
      <w:tr w:rsidR="003635DA" w:rsidRPr="00631E9C" w14:paraId="74FF765F" w14:textId="77777777" w:rsidTr="00C8557D">
        <w:trPr>
          <w:trHeight w:val="34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1C451393" w14:textId="77777777" w:rsidR="003635DA" w:rsidRPr="00631E9C" w:rsidRDefault="003635DA" w:rsidP="003635DA">
            <w:pPr>
              <w:jc w:val="left"/>
              <w:rPr>
                <w:color w:val="000000"/>
                <w:sz w:val="22"/>
                <w:szCs w:val="22"/>
              </w:rPr>
            </w:pPr>
            <w:r w:rsidRPr="00631E9C">
              <w:rPr>
                <w:color w:val="000000"/>
                <w:sz w:val="22"/>
                <w:szCs w:val="22"/>
              </w:rPr>
              <w:t>Costi operativi fissi previsionali di cui all'articolo 9.1 del MTR-2</w:t>
            </w:r>
          </w:p>
        </w:tc>
        <w:tc>
          <w:tcPr>
            <w:tcW w:w="1276" w:type="dxa"/>
            <w:tcBorders>
              <w:top w:val="nil"/>
              <w:left w:val="nil"/>
              <w:bottom w:val="single" w:sz="4" w:space="0" w:color="auto"/>
              <w:right w:val="single" w:sz="4" w:space="0" w:color="auto"/>
            </w:tcBorders>
            <w:shd w:val="clear" w:color="000000" w:fill="FFFFFF"/>
            <w:noWrap/>
            <w:vAlign w:val="center"/>
            <w:hideMark/>
          </w:tcPr>
          <w:p w14:paraId="210CA40E" w14:textId="77777777" w:rsidR="003635DA" w:rsidRPr="00631E9C" w:rsidRDefault="003635DA" w:rsidP="003635DA">
            <w:pPr>
              <w:jc w:val="left"/>
              <w:rPr>
                <w:b/>
                <w:bCs/>
                <w:i/>
                <w:iCs/>
                <w:color w:val="000000"/>
                <w:sz w:val="22"/>
                <w:szCs w:val="22"/>
              </w:rPr>
            </w:pPr>
            <w:r w:rsidRPr="00631E9C">
              <w:rPr>
                <w:b/>
                <w:bCs/>
                <w:i/>
                <w:iCs/>
                <w:sz w:val="22"/>
                <w:szCs w:val="22"/>
              </w:rPr>
              <w:t>CO</w:t>
            </w:r>
            <w:r w:rsidRPr="00631E9C">
              <w:rPr>
                <w:b/>
                <w:bCs/>
                <w:i/>
                <w:iCs/>
                <w:color w:val="000000"/>
                <w:sz w:val="22"/>
                <w:szCs w:val="22"/>
                <w:vertAlign w:val="superscript"/>
              </w:rPr>
              <w:t>EXP</w:t>
            </w:r>
            <w:r w:rsidRPr="00631E9C">
              <w:rPr>
                <w:b/>
                <w:bCs/>
                <w:i/>
                <w:iCs/>
                <w:color w:val="000000"/>
                <w:sz w:val="22"/>
                <w:szCs w:val="22"/>
                <w:vertAlign w:val="subscript"/>
              </w:rPr>
              <w:t>116,TF</w:t>
            </w:r>
          </w:p>
        </w:tc>
        <w:tc>
          <w:tcPr>
            <w:tcW w:w="1134" w:type="dxa"/>
            <w:tcBorders>
              <w:top w:val="nil"/>
              <w:left w:val="nil"/>
              <w:bottom w:val="single" w:sz="4" w:space="0" w:color="auto"/>
              <w:right w:val="single" w:sz="4" w:space="0" w:color="auto"/>
            </w:tcBorders>
            <w:shd w:val="clear" w:color="auto" w:fill="auto"/>
            <w:noWrap/>
            <w:vAlign w:val="center"/>
            <w:hideMark/>
          </w:tcPr>
          <w:p w14:paraId="7CFE62A8" w14:textId="5AA969B5"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461BC25D" w14:textId="01806F60"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31FC4307" w14:textId="4A8F2CE7" w:rsidR="003635DA" w:rsidRPr="00631E9C" w:rsidRDefault="003635DA" w:rsidP="003635DA">
            <w:pPr>
              <w:jc w:val="right"/>
              <w:rPr>
                <w:color w:val="000000"/>
                <w:sz w:val="22"/>
                <w:szCs w:val="22"/>
              </w:rPr>
            </w:pPr>
            <w:r>
              <w:rPr>
                <w:color w:val="000000"/>
                <w:sz w:val="22"/>
                <w:szCs w:val="22"/>
              </w:rPr>
              <w:t>0</w:t>
            </w:r>
          </w:p>
        </w:tc>
        <w:tc>
          <w:tcPr>
            <w:tcW w:w="1130" w:type="dxa"/>
            <w:tcBorders>
              <w:top w:val="nil"/>
              <w:left w:val="nil"/>
              <w:bottom w:val="single" w:sz="4" w:space="0" w:color="auto"/>
              <w:right w:val="single" w:sz="4" w:space="0" w:color="auto"/>
            </w:tcBorders>
            <w:shd w:val="clear" w:color="auto" w:fill="auto"/>
            <w:noWrap/>
            <w:vAlign w:val="center"/>
            <w:hideMark/>
          </w:tcPr>
          <w:p w14:paraId="35A423D5" w14:textId="187C10B6" w:rsidR="003635DA" w:rsidRPr="00631E9C" w:rsidRDefault="003635DA" w:rsidP="003635DA">
            <w:pPr>
              <w:jc w:val="right"/>
              <w:rPr>
                <w:color w:val="000000"/>
                <w:sz w:val="22"/>
                <w:szCs w:val="22"/>
              </w:rPr>
            </w:pPr>
            <w:r>
              <w:rPr>
                <w:color w:val="000000"/>
                <w:sz w:val="22"/>
                <w:szCs w:val="22"/>
              </w:rPr>
              <w:t>0</w:t>
            </w:r>
          </w:p>
        </w:tc>
      </w:tr>
      <w:tr w:rsidR="003635DA" w:rsidRPr="00631E9C" w14:paraId="060C9668" w14:textId="77777777" w:rsidTr="00C8557D">
        <w:trPr>
          <w:trHeight w:val="34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076D0C1B" w14:textId="77777777" w:rsidR="003635DA" w:rsidRPr="00631E9C" w:rsidRDefault="003635DA" w:rsidP="003635DA">
            <w:pPr>
              <w:jc w:val="left"/>
              <w:rPr>
                <w:color w:val="000000"/>
                <w:sz w:val="22"/>
                <w:szCs w:val="22"/>
              </w:rPr>
            </w:pPr>
            <w:r w:rsidRPr="00631E9C">
              <w:rPr>
                <w:color w:val="000000"/>
                <w:sz w:val="22"/>
                <w:szCs w:val="22"/>
              </w:rPr>
              <w:t>Costi operativi fissi previsionali di cui all'articolo 9.2 del MTR-2</w:t>
            </w:r>
          </w:p>
        </w:tc>
        <w:tc>
          <w:tcPr>
            <w:tcW w:w="1276" w:type="dxa"/>
            <w:tcBorders>
              <w:top w:val="nil"/>
              <w:left w:val="nil"/>
              <w:bottom w:val="single" w:sz="4" w:space="0" w:color="auto"/>
              <w:right w:val="single" w:sz="4" w:space="0" w:color="auto"/>
            </w:tcBorders>
            <w:shd w:val="clear" w:color="000000" w:fill="FFFFFF"/>
            <w:noWrap/>
            <w:vAlign w:val="center"/>
            <w:hideMark/>
          </w:tcPr>
          <w:p w14:paraId="7D76295E" w14:textId="77777777" w:rsidR="003635DA" w:rsidRPr="00631E9C" w:rsidRDefault="003635DA" w:rsidP="003635DA">
            <w:pPr>
              <w:jc w:val="left"/>
              <w:rPr>
                <w:b/>
                <w:bCs/>
                <w:i/>
                <w:iCs/>
                <w:color w:val="000000"/>
                <w:sz w:val="22"/>
                <w:szCs w:val="22"/>
              </w:rPr>
            </w:pPr>
            <w:r w:rsidRPr="00631E9C">
              <w:rPr>
                <w:b/>
                <w:bCs/>
                <w:i/>
                <w:iCs/>
                <w:color w:val="000000"/>
                <w:sz w:val="22"/>
                <w:szCs w:val="22"/>
              </w:rPr>
              <w:t>CQ</w:t>
            </w:r>
            <w:r w:rsidRPr="00631E9C">
              <w:rPr>
                <w:b/>
                <w:bCs/>
                <w:i/>
                <w:iCs/>
                <w:color w:val="000000"/>
                <w:sz w:val="22"/>
                <w:szCs w:val="22"/>
                <w:vertAlign w:val="superscript"/>
              </w:rPr>
              <w:t>EXP</w:t>
            </w:r>
            <w:r w:rsidRPr="00631E9C">
              <w:rPr>
                <w:b/>
                <w:bCs/>
                <w:i/>
                <w:iCs/>
                <w:color w:val="000000"/>
                <w:sz w:val="22"/>
                <w:szCs w:val="22"/>
                <w:vertAlign w:val="subscript"/>
              </w:rPr>
              <w:t>TF</w:t>
            </w:r>
          </w:p>
        </w:tc>
        <w:tc>
          <w:tcPr>
            <w:tcW w:w="1134" w:type="dxa"/>
            <w:tcBorders>
              <w:top w:val="nil"/>
              <w:left w:val="nil"/>
              <w:bottom w:val="single" w:sz="4" w:space="0" w:color="auto"/>
              <w:right w:val="single" w:sz="4" w:space="0" w:color="auto"/>
            </w:tcBorders>
            <w:shd w:val="clear" w:color="auto" w:fill="auto"/>
            <w:noWrap/>
            <w:vAlign w:val="center"/>
            <w:hideMark/>
          </w:tcPr>
          <w:p w14:paraId="391DF8E1" w14:textId="2C58758B" w:rsidR="003635DA" w:rsidRPr="00631E9C" w:rsidRDefault="003635DA" w:rsidP="003635DA">
            <w:pPr>
              <w:jc w:val="right"/>
              <w:rPr>
                <w:color w:val="000000"/>
                <w:sz w:val="22"/>
                <w:szCs w:val="22"/>
              </w:rPr>
            </w:pPr>
            <w:r>
              <w:rPr>
                <w:color w:val="000000"/>
                <w:sz w:val="22"/>
                <w:szCs w:val="22"/>
              </w:rPr>
              <w:t>77.612</w:t>
            </w:r>
          </w:p>
        </w:tc>
        <w:tc>
          <w:tcPr>
            <w:tcW w:w="1134" w:type="dxa"/>
            <w:tcBorders>
              <w:top w:val="nil"/>
              <w:left w:val="nil"/>
              <w:bottom w:val="single" w:sz="4" w:space="0" w:color="auto"/>
              <w:right w:val="single" w:sz="4" w:space="0" w:color="auto"/>
            </w:tcBorders>
            <w:shd w:val="clear" w:color="auto" w:fill="auto"/>
            <w:noWrap/>
            <w:vAlign w:val="center"/>
            <w:hideMark/>
          </w:tcPr>
          <w:p w14:paraId="4DE1A1C9" w14:textId="5DF6AAD5" w:rsidR="003635DA" w:rsidRPr="00631E9C" w:rsidRDefault="003635DA" w:rsidP="003635DA">
            <w:pPr>
              <w:jc w:val="right"/>
              <w:rPr>
                <w:color w:val="000000"/>
                <w:sz w:val="22"/>
                <w:szCs w:val="22"/>
              </w:rPr>
            </w:pPr>
            <w:r>
              <w:rPr>
                <w:color w:val="000000"/>
                <w:sz w:val="22"/>
                <w:szCs w:val="22"/>
              </w:rPr>
              <w:t>155.224</w:t>
            </w:r>
          </w:p>
        </w:tc>
        <w:tc>
          <w:tcPr>
            <w:tcW w:w="1134" w:type="dxa"/>
            <w:tcBorders>
              <w:top w:val="nil"/>
              <w:left w:val="nil"/>
              <w:bottom w:val="single" w:sz="4" w:space="0" w:color="auto"/>
              <w:right w:val="single" w:sz="4" w:space="0" w:color="auto"/>
            </w:tcBorders>
            <w:shd w:val="clear" w:color="auto" w:fill="auto"/>
            <w:noWrap/>
            <w:vAlign w:val="center"/>
            <w:hideMark/>
          </w:tcPr>
          <w:p w14:paraId="640871E3" w14:textId="57B8C188" w:rsidR="003635DA" w:rsidRPr="00631E9C" w:rsidRDefault="003635DA" w:rsidP="003635DA">
            <w:pPr>
              <w:jc w:val="right"/>
              <w:rPr>
                <w:color w:val="000000"/>
                <w:sz w:val="22"/>
                <w:szCs w:val="22"/>
              </w:rPr>
            </w:pPr>
            <w:r>
              <w:rPr>
                <w:color w:val="000000"/>
                <w:sz w:val="22"/>
                <w:szCs w:val="22"/>
              </w:rPr>
              <w:t>232.837</w:t>
            </w:r>
          </w:p>
        </w:tc>
        <w:tc>
          <w:tcPr>
            <w:tcW w:w="1130" w:type="dxa"/>
            <w:tcBorders>
              <w:top w:val="nil"/>
              <w:left w:val="nil"/>
              <w:bottom w:val="single" w:sz="4" w:space="0" w:color="auto"/>
              <w:right w:val="single" w:sz="4" w:space="0" w:color="auto"/>
            </w:tcBorders>
            <w:shd w:val="clear" w:color="auto" w:fill="auto"/>
            <w:noWrap/>
            <w:vAlign w:val="center"/>
            <w:hideMark/>
          </w:tcPr>
          <w:p w14:paraId="3305F173" w14:textId="2CDE5EE2" w:rsidR="003635DA" w:rsidRPr="00631E9C" w:rsidRDefault="003635DA" w:rsidP="003635DA">
            <w:pPr>
              <w:jc w:val="right"/>
              <w:rPr>
                <w:color w:val="000000"/>
                <w:sz w:val="22"/>
                <w:szCs w:val="22"/>
              </w:rPr>
            </w:pPr>
            <w:r>
              <w:rPr>
                <w:color w:val="000000"/>
                <w:sz w:val="22"/>
                <w:szCs w:val="22"/>
              </w:rPr>
              <w:t>232.837</w:t>
            </w:r>
          </w:p>
        </w:tc>
      </w:tr>
      <w:tr w:rsidR="003635DA" w:rsidRPr="00631E9C" w14:paraId="112D2BE7" w14:textId="77777777" w:rsidTr="00C8557D">
        <w:trPr>
          <w:trHeight w:val="348"/>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2BF2CE27" w14:textId="77777777" w:rsidR="003635DA" w:rsidRPr="00631E9C" w:rsidRDefault="003635DA" w:rsidP="003635DA">
            <w:pPr>
              <w:jc w:val="left"/>
              <w:rPr>
                <w:color w:val="000000"/>
                <w:sz w:val="22"/>
                <w:szCs w:val="22"/>
              </w:rPr>
            </w:pPr>
            <w:r w:rsidRPr="00631E9C">
              <w:rPr>
                <w:color w:val="000000"/>
                <w:sz w:val="22"/>
                <w:szCs w:val="22"/>
              </w:rPr>
              <w:t>Costi operativi incentivanti fissi di cui all'articolo 8 del MTR</w:t>
            </w:r>
          </w:p>
        </w:tc>
        <w:tc>
          <w:tcPr>
            <w:tcW w:w="1276" w:type="dxa"/>
            <w:tcBorders>
              <w:top w:val="nil"/>
              <w:left w:val="nil"/>
              <w:bottom w:val="single" w:sz="4" w:space="0" w:color="auto"/>
              <w:right w:val="single" w:sz="4" w:space="0" w:color="auto"/>
            </w:tcBorders>
            <w:shd w:val="clear" w:color="000000" w:fill="FFFFFF"/>
            <w:noWrap/>
            <w:vAlign w:val="center"/>
            <w:hideMark/>
          </w:tcPr>
          <w:p w14:paraId="1CDB74C1" w14:textId="77777777" w:rsidR="003635DA" w:rsidRPr="00631E9C" w:rsidRDefault="003635DA" w:rsidP="003635DA">
            <w:pPr>
              <w:jc w:val="left"/>
              <w:rPr>
                <w:b/>
                <w:bCs/>
                <w:i/>
                <w:iCs/>
                <w:color w:val="000000"/>
                <w:sz w:val="22"/>
                <w:szCs w:val="22"/>
              </w:rPr>
            </w:pPr>
            <w:r w:rsidRPr="00631E9C">
              <w:rPr>
                <w:b/>
                <w:bCs/>
                <w:i/>
                <w:iCs/>
                <w:color w:val="000000"/>
                <w:sz w:val="22"/>
                <w:szCs w:val="22"/>
              </w:rPr>
              <w:t>COI</w:t>
            </w:r>
            <w:r w:rsidRPr="00631E9C">
              <w:rPr>
                <w:b/>
                <w:bCs/>
                <w:i/>
                <w:iCs/>
                <w:color w:val="000000"/>
                <w:sz w:val="22"/>
                <w:szCs w:val="22"/>
                <w:vertAlign w:val="superscript"/>
              </w:rPr>
              <w:t>EXP</w:t>
            </w:r>
            <w:r w:rsidRPr="00631E9C">
              <w:rPr>
                <w:b/>
                <w:bCs/>
                <w:i/>
                <w:iCs/>
                <w:color w:val="000000"/>
                <w:sz w:val="22"/>
                <w:szCs w:val="22"/>
                <w:vertAlign w:val="subscript"/>
              </w:rPr>
              <w:t>TF</w:t>
            </w:r>
          </w:p>
        </w:tc>
        <w:tc>
          <w:tcPr>
            <w:tcW w:w="1134" w:type="dxa"/>
            <w:tcBorders>
              <w:top w:val="nil"/>
              <w:left w:val="nil"/>
              <w:bottom w:val="single" w:sz="4" w:space="0" w:color="auto"/>
              <w:right w:val="single" w:sz="4" w:space="0" w:color="auto"/>
            </w:tcBorders>
            <w:shd w:val="clear" w:color="auto" w:fill="auto"/>
            <w:noWrap/>
            <w:vAlign w:val="center"/>
            <w:hideMark/>
          </w:tcPr>
          <w:p w14:paraId="2A1AC7A3" w14:textId="72513838" w:rsidR="003635DA" w:rsidRPr="00631E9C" w:rsidRDefault="003635DA" w:rsidP="003635DA">
            <w:pPr>
              <w:jc w:val="right"/>
              <w:rPr>
                <w:color w:val="000000"/>
                <w:sz w:val="22"/>
                <w:szCs w:val="22"/>
              </w:rPr>
            </w:pPr>
            <w:r>
              <w:rPr>
                <w:color w:val="000000"/>
                <w:sz w:val="22"/>
                <w:szCs w:val="22"/>
              </w:rPr>
              <w:t>0</w:t>
            </w:r>
          </w:p>
        </w:tc>
        <w:tc>
          <w:tcPr>
            <w:tcW w:w="1134" w:type="dxa"/>
            <w:tcBorders>
              <w:top w:val="nil"/>
              <w:left w:val="nil"/>
              <w:bottom w:val="single" w:sz="4" w:space="0" w:color="auto"/>
              <w:right w:val="single" w:sz="4" w:space="0" w:color="auto"/>
            </w:tcBorders>
            <w:shd w:val="clear" w:color="auto" w:fill="auto"/>
            <w:noWrap/>
            <w:vAlign w:val="center"/>
            <w:hideMark/>
          </w:tcPr>
          <w:p w14:paraId="6069828B" w14:textId="1ECAD962" w:rsidR="003635DA" w:rsidRPr="00631E9C" w:rsidRDefault="003635DA" w:rsidP="003635DA">
            <w:pPr>
              <w:jc w:val="right"/>
              <w:rPr>
                <w:color w:val="000000"/>
                <w:sz w:val="22"/>
                <w:szCs w:val="22"/>
              </w:rPr>
            </w:pPr>
            <w:r>
              <w:rPr>
                <w:color w:val="000000"/>
                <w:sz w:val="22"/>
                <w:szCs w:val="22"/>
              </w:rPr>
              <w:t>800.000</w:t>
            </w:r>
          </w:p>
        </w:tc>
        <w:tc>
          <w:tcPr>
            <w:tcW w:w="1134" w:type="dxa"/>
            <w:tcBorders>
              <w:top w:val="nil"/>
              <w:left w:val="nil"/>
              <w:bottom w:val="single" w:sz="4" w:space="0" w:color="auto"/>
              <w:right w:val="single" w:sz="4" w:space="0" w:color="auto"/>
            </w:tcBorders>
            <w:shd w:val="clear" w:color="auto" w:fill="auto"/>
            <w:noWrap/>
            <w:vAlign w:val="center"/>
            <w:hideMark/>
          </w:tcPr>
          <w:p w14:paraId="4AC1EF87" w14:textId="5FDCD302" w:rsidR="003635DA" w:rsidRPr="00631E9C" w:rsidRDefault="003635DA" w:rsidP="003635DA">
            <w:pPr>
              <w:jc w:val="right"/>
              <w:rPr>
                <w:color w:val="000000"/>
                <w:sz w:val="22"/>
                <w:szCs w:val="22"/>
              </w:rPr>
            </w:pPr>
            <w:r>
              <w:rPr>
                <w:color w:val="000000"/>
                <w:sz w:val="22"/>
                <w:szCs w:val="22"/>
              </w:rPr>
              <w:t>0</w:t>
            </w:r>
          </w:p>
        </w:tc>
        <w:tc>
          <w:tcPr>
            <w:tcW w:w="1130" w:type="dxa"/>
            <w:tcBorders>
              <w:top w:val="nil"/>
              <w:left w:val="nil"/>
              <w:bottom w:val="single" w:sz="4" w:space="0" w:color="auto"/>
              <w:right w:val="single" w:sz="4" w:space="0" w:color="auto"/>
            </w:tcBorders>
            <w:shd w:val="clear" w:color="auto" w:fill="auto"/>
            <w:noWrap/>
            <w:vAlign w:val="center"/>
            <w:hideMark/>
          </w:tcPr>
          <w:p w14:paraId="0D0EF081" w14:textId="1CD2988C" w:rsidR="003635DA" w:rsidRPr="00631E9C" w:rsidRDefault="003635DA" w:rsidP="003635DA">
            <w:pPr>
              <w:jc w:val="right"/>
              <w:rPr>
                <w:color w:val="000000"/>
                <w:sz w:val="22"/>
                <w:szCs w:val="22"/>
              </w:rPr>
            </w:pPr>
            <w:r>
              <w:rPr>
                <w:color w:val="000000"/>
                <w:sz w:val="22"/>
                <w:szCs w:val="22"/>
              </w:rPr>
              <w:t>0</w:t>
            </w:r>
          </w:p>
        </w:tc>
      </w:tr>
      <w:tr w:rsidR="003635DA" w:rsidRPr="00631E9C" w14:paraId="2BF724B7" w14:textId="77777777" w:rsidTr="00C8557D">
        <w:trPr>
          <w:trHeight w:val="312"/>
          <w:jc w:val="center"/>
        </w:trPr>
        <w:tc>
          <w:tcPr>
            <w:tcW w:w="3681" w:type="dxa"/>
            <w:tcBorders>
              <w:top w:val="nil"/>
              <w:left w:val="single" w:sz="4" w:space="0" w:color="auto"/>
              <w:bottom w:val="single" w:sz="4" w:space="0" w:color="auto"/>
              <w:right w:val="single" w:sz="4" w:space="0" w:color="auto"/>
            </w:tcBorders>
            <w:shd w:val="clear" w:color="000000" w:fill="FFFFFF"/>
            <w:noWrap/>
            <w:vAlign w:val="center"/>
            <w:hideMark/>
          </w:tcPr>
          <w:p w14:paraId="0CFA08C0" w14:textId="77777777" w:rsidR="003635DA" w:rsidRPr="00631E9C" w:rsidRDefault="003635DA" w:rsidP="003635DA">
            <w:pPr>
              <w:jc w:val="left"/>
              <w:rPr>
                <w:color w:val="000000"/>
                <w:sz w:val="22"/>
                <w:szCs w:val="22"/>
              </w:rPr>
            </w:pPr>
            <w:r w:rsidRPr="00631E9C">
              <w:rPr>
                <w:color w:val="000000"/>
                <w:sz w:val="22"/>
                <w:szCs w:val="22"/>
              </w:rPr>
              <w:t>Componente a conguaglio relativa ai costi fissi</w:t>
            </w:r>
          </w:p>
        </w:tc>
        <w:tc>
          <w:tcPr>
            <w:tcW w:w="1276" w:type="dxa"/>
            <w:tcBorders>
              <w:top w:val="nil"/>
              <w:left w:val="nil"/>
              <w:bottom w:val="single" w:sz="4" w:space="0" w:color="auto"/>
              <w:right w:val="single" w:sz="4" w:space="0" w:color="auto"/>
            </w:tcBorders>
            <w:shd w:val="clear" w:color="000000" w:fill="FFFFFF"/>
            <w:noWrap/>
            <w:vAlign w:val="center"/>
            <w:hideMark/>
          </w:tcPr>
          <w:p w14:paraId="6F2E5A54" w14:textId="77777777" w:rsidR="003635DA" w:rsidRPr="00631E9C" w:rsidRDefault="003635DA" w:rsidP="003635DA">
            <w:pPr>
              <w:jc w:val="left"/>
              <w:rPr>
                <w:b/>
                <w:bCs/>
                <w:i/>
                <w:iCs/>
                <w:color w:val="000000"/>
                <w:sz w:val="22"/>
                <w:szCs w:val="22"/>
              </w:rPr>
            </w:pPr>
            <w:r w:rsidRPr="00631E9C">
              <w:rPr>
                <w:b/>
                <w:bCs/>
                <w:i/>
                <w:iCs/>
                <w:color w:val="000000"/>
                <w:sz w:val="22"/>
                <w:szCs w:val="22"/>
              </w:rPr>
              <w:t>RC</w:t>
            </w:r>
            <w:r w:rsidRPr="00631E9C">
              <w:rPr>
                <w:b/>
                <w:bCs/>
                <w:i/>
                <w:iCs/>
                <w:color w:val="000000"/>
                <w:sz w:val="22"/>
                <w:szCs w:val="22"/>
                <w:vertAlign w:val="subscript"/>
              </w:rPr>
              <w:t>TF</w:t>
            </w:r>
          </w:p>
        </w:tc>
        <w:tc>
          <w:tcPr>
            <w:tcW w:w="1134" w:type="dxa"/>
            <w:tcBorders>
              <w:top w:val="nil"/>
              <w:left w:val="nil"/>
              <w:bottom w:val="single" w:sz="4" w:space="0" w:color="auto"/>
              <w:right w:val="single" w:sz="4" w:space="0" w:color="auto"/>
            </w:tcBorders>
            <w:shd w:val="clear" w:color="auto" w:fill="auto"/>
            <w:noWrap/>
            <w:vAlign w:val="center"/>
            <w:hideMark/>
          </w:tcPr>
          <w:p w14:paraId="604C4BA3" w14:textId="7BC38B81" w:rsidR="003635DA" w:rsidRPr="00631E9C" w:rsidRDefault="003635DA" w:rsidP="003635DA">
            <w:pPr>
              <w:jc w:val="right"/>
              <w:rPr>
                <w:color w:val="000000"/>
                <w:sz w:val="22"/>
                <w:szCs w:val="22"/>
              </w:rPr>
            </w:pPr>
            <w:r>
              <w:rPr>
                <w:color w:val="000000"/>
                <w:sz w:val="22"/>
                <w:szCs w:val="22"/>
              </w:rPr>
              <w:t>1.988.671</w:t>
            </w:r>
          </w:p>
        </w:tc>
        <w:tc>
          <w:tcPr>
            <w:tcW w:w="1134" w:type="dxa"/>
            <w:tcBorders>
              <w:top w:val="nil"/>
              <w:left w:val="nil"/>
              <w:bottom w:val="single" w:sz="4" w:space="0" w:color="auto"/>
              <w:right w:val="single" w:sz="4" w:space="0" w:color="auto"/>
            </w:tcBorders>
            <w:shd w:val="clear" w:color="auto" w:fill="auto"/>
            <w:noWrap/>
            <w:vAlign w:val="center"/>
            <w:hideMark/>
          </w:tcPr>
          <w:p w14:paraId="69FEA79F" w14:textId="7EF5A020" w:rsidR="003635DA" w:rsidRPr="00631E9C" w:rsidRDefault="003635DA" w:rsidP="003635DA">
            <w:pPr>
              <w:jc w:val="right"/>
              <w:rPr>
                <w:color w:val="000000"/>
                <w:sz w:val="22"/>
                <w:szCs w:val="22"/>
              </w:rPr>
            </w:pPr>
            <w:r>
              <w:rPr>
                <w:color w:val="000000"/>
                <w:sz w:val="22"/>
                <w:szCs w:val="22"/>
              </w:rPr>
              <w:t>1.988.671</w:t>
            </w:r>
          </w:p>
        </w:tc>
        <w:tc>
          <w:tcPr>
            <w:tcW w:w="1134" w:type="dxa"/>
            <w:tcBorders>
              <w:top w:val="nil"/>
              <w:left w:val="nil"/>
              <w:bottom w:val="single" w:sz="4" w:space="0" w:color="auto"/>
              <w:right w:val="single" w:sz="4" w:space="0" w:color="auto"/>
            </w:tcBorders>
            <w:shd w:val="clear" w:color="auto" w:fill="auto"/>
            <w:noWrap/>
            <w:vAlign w:val="center"/>
            <w:hideMark/>
          </w:tcPr>
          <w:p w14:paraId="69715ED1" w14:textId="7CF07C9E" w:rsidR="003635DA" w:rsidRPr="00631E9C" w:rsidRDefault="003635DA" w:rsidP="003635DA">
            <w:pPr>
              <w:jc w:val="right"/>
              <w:rPr>
                <w:color w:val="000000"/>
                <w:sz w:val="22"/>
                <w:szCs w:val="22"/>
              </w:rPr>
            </w:pPr>
            <w:r>
              <w:rPr>
                <w:color w:val="000000"/>
                <w:sz w:val="22"/>
                <w:szCs w:val="22"/>
              </w:rPr>
              <w:t>1.238.245</w:t>
            </w:r>
          </w:p>
        </w:tc>
        <w:tc>
          <w:tcPr>
            <w:tcW w:w="1130" w:type="dxa"/>
            <w:tcBorders>
              <w:top w:val="nil"/>
              <w:left w:val="nil"/>
              <w:bottom w:val="single" w:sz="4" w:space="0" w:color="auto"/>
              <w:right w:val="single" w:sz="4" w:space="0" w:color="auto"/>
            </w:tcBorders>
            <w:shd w:val="clear" w:color="auto" w:fill="auto"/>
            <w:noWrap/>
            <w:vAlign w:val="center"/>
            <w:hideMark/>
          </w:tcPr>
          <w:p w14:paraId="3D4F72E2" w14:textId="0E156237" w:rsidR="003635DA" w:rsidRPr="00631E9C" w:rsidRDefault="003635DA" w:rsidP="003635DA">
            <w:pPr>
              <w:jc w:val="right"/>
              <w:rPr>
                <w:color w:val="000000"/>
                <w:sz w:val="22"/>
                <w:szCs w:val="22"/>
              </w:rPr>
            </w:pPr>
            <w:r>
              <w:rPr>
                <w:color w:val="000000"/>
                <w:sz w:val="22"/>
                <w:szCs w:val="22"/>
              </w:rPr>
              <w:t>0</w:t>
            </w:r>
          </w:p>
        </w:tc>
      </w:tr>
    </w:tbl>
    <w:p w14:paraId="43484770" w14:textId="77777777" w:rsidR="00B3723B" w:rsidRDefault="00B3723B" w:rsidP="00EF2D6E">
      <w:pPr>
        <w:rPr>
          <w:lang w:eastAsia="en-GB"/>
        </w:rPr>
      </w:pPr>
    </w:p>
    <w:p w14:paraId="46E96E0D" w14:textId="77777777" w:rsidR="00033386" w:rsidRPr="00773DFA" w:rsidRDefault="00033386" w:rsidP="00EF2D6E">
      <w:pPr>
        <w:rPr>
          <w:lang w:eastAsia="en-GB"/>
        </w:rPr>
      </w:pPr>
    </w:p>
    <w:p w14:paraId="042FC4D0" w14:textId="77777777" w:rsidR="001A2E02" w:rsidRPr="00773DFA" w:rsidRDefault="001A2E02" w:rsidP="00F613AA">
      <w:pPr>
        <w:pStyle w:val="Titolo3"/>
      </w:pPr>
      <w:bookmarkStart w:id="21" w:name="_Toc92569719"/>
      <w:r w:rsidRPr="00773DFA">
        <w:t>Dati di conto economico</w:t>
      </w:r>
      <w:bookmarkEnd w:id="21"/>
    </w:p>
    <w:p w14:paraId="3ABDEE7F" w14:textId="67C9002D" w:rsidR="000B3841" w:rsidRDefault="005101A9" w:rsidP="005101A9">
      <w:pPr>
        <w:rPr>
          <w:lang w:eastAsia="en-GB"/>
        </w:rPr>
      </w:pPr>
      <w:r>
        <w:rPr>
          <w:lang w:eastAsia="en-GB"/>
        </w:rPr>
        <w:t>Con riferimento all’anno 202</w:t>
      </w:r>
      <w:r w:rsidR="000527E5">
        <w:rPr>
          <w:lang w:eastAsia="en-GB"/>
        </w:rPr>
        <w:t>2</w:t>
      </w:r>
      <w:r>
        <w:rPr>
          <w:lang w:eastAsia="en-GB"/>
        </w:rPr>
        <w:t>, le componenti di costo riportate nel PEF sono riconciliate con la somma dei costi effettivamente sostenuti dal gestore nell’anno 20</w:t>
      </w:r>
      <w:r w:rsidR="000527E5">
        <w:rPr>
          <w:lang w:eastAsia="en-GB"/>
        </w:rPr>
        <w:t>20</w:t>
      </w:r>
      <w:r>
        <w:rPr>
          <w:lang w:eastAsia="en-GB"/>
        </w:rPr>
        <w:t>.</w:t>
      </w:r>
      <w:r w:rsidR="003973BC">
        <w:rPr>
          <w:lang w:eastAsia="en-GB"/>
        </w:rPr>
        <w:t xml:space="preserve"> </w:t>
      </w:r>
      <w:r w:rsidR="00015B99">
        <w:rPr>
          <w:lang w:eastAsia="en-GB"/>
        </w:rPr>
        <w:t>Con riferimento agli anni 2023-2025, le componenti di costo riportate nel PEF sono riconciliate con la somma dei costi stimati dal gestore per l’anno 2021 nel rispetto di quanto previsto all’art. 7.2 dell’allegato A alla Deliberazione ARERA n. 363/2021/R/RIF.</w:t>
      </w:r>
      <w:r w:rsidR="003973BC">
        <w:rPr>
          <w:lang w:eastAsia="en-GB"/>
        </w:rPr>
        <w:t xml:space="preserve"> </w:t>
      </w:r>
      <w:r w:rsidR="00015B99">
        <w:rPr>
          <w:lang w:eastAsia="en-GB"/>
        </w:rPr>
        <w:t>Per la determinazione dei costi 2020, n</w:t>
      </w:r>
      <w:r>
        <w:rPr>
          <w:lang w:eastAsia="en-GB"/>
        </w:rPr>
        <w:t>el rispetto di quanto previsto agli artt. 7</w:t>
      </w:r>
      <w:r w:rsidR="000527E5">
        <w:rPr>
          <w:lang w:eastAsia="en-GB"/>
        </w:rPr>
        <w:t xml:space="preserve"> e </w:t>
      </w:r>
      <w:r>
        <w:rPr>
          <w:lang w:eastAsia="en-GB"/>
        </w:rPr>
        <w:t>8 dell’allegato A alla Deliberazione ARERA</w:t>
      </w:r>
      <w:r w:rsidR="000527E5">
        <w:rPr>
          <w:lang w:eastAsia="en-GB"/>
        </w:rPr>
        <w:t xml:space="preserve"> </w:t>
      </w:r>
      <w:r>
        <w:rPr>
          <w:lang w:eastAsia="en-GB"/>
        </w:rPr>
        <w:t>n.</w:t>
      </w:r>
      <w:r w:rsidR="000527E5">
        <w:rPr>
          <w:lang w:eastAsia="en-GB"/>
        </w:rPr>
        <w:t xml:space="preserve"> 36</w:t>
      </w:r>
      <w:r>
        <w:rPr>
          <w:lang w:eastAsia="en-GB"/>
        </w:rPr>
        <w:t>3/20</w:t>
      </w:r>
      <w:r w:rsidR="000527E5">
        <w:rPr>
          <w:lang w:eastAsia="en-GB"/>
        </w:rPr>
        <w:t>21</w:t>
      </w:r>
      <w:r>
        <w:rPr>
          <w:lang w:eastAsia="en-GB"/>
        </w:rPr>
        <w:t>/R/RIF, si è proceduto come segue:</w:t>
      </w:r>
    </w:p>
    <w:p w14:paraId="23735355" w14:textId="77777777" w:rsidR="005101A9" w:rsidRPr="00825002" w:rsidRDefault="005101A9" w:rsidP="005101A9">
      <w:pPr>
        <w:rPr>
          <w:b/>
          <w:lang w:eastAsia="en-GB"/>
        </w:rPr>
      </w:pPr>
    </w:p>
    <w:p w14:paraId="1A50AB83" w14:textId="77777777" w:rsidR="000B3841" w:rsidRPr="00825002" w:rsidRDefault="000B3841" w:rsidP="000B3841">
      <w:pPr>
        <w:rPr>
          <w:b/>
          <w:lang w:eastAsia="en-GB"/>
        </w:rPr>
      </w:pPr>
      <w:r w:rsidRPr="00825002">
        <w:rPr>
          <w:b/>
          <w:lang w:eastAsia="en-GB"/>
        </w:rPr>
        <w:lastRenderedPageBreak/>
        <w:t xml:space="preserve">Costi operativi diretti (concorrenti alla determinazione delle voci CRT, CTS, CTR, </w:t>
      </w:r>
      <w:r>
        <w:rPr>
          <w:b/>
          <w:lang w:eastAsia="en-GB"/>
        </w:rPr>
        <w:t>CRD, CSL</w:t>
      </w:r>
      <w:r w:rsidRPr="00825002">
        <w:rPr>
          <w:b/>
          <w:lang w:eastAsia="en-GB"/>
        </w:rPr>
        <w:t>)</w:t>
      </w:r>
    </w:p>
    <w:p w14:paraId="23D08CF2" w14:textId="77777777" w:rsidR="005101A9" w:rsidRDefault="005101A9" w:rsidP="005101A9">
      <w:pPr>
        <w:rPr>
          <w:lang w:eastAsia="en-GB"/>
        </w:rPr>
      </w:pPr>
      <w:r w:rsidRPr="008C5096">
        <w:rPr>
          <w:lang w:eastAsia="en-GB"/>
        </w:rPr>
        <w:t xml:space="preserve">Si è proceduto ad un’analisi di dettaglio delle singole partite di conto economico </w:t>
      </w:r>
      <w:r>
        <w:rPr>
          <w:lang w:eastAsia="en-GB"/>
        </w:rPr>
        <w:t>registrate nel sistema di contabilità aziendale, attribuendo:</w:t>
      </w:r>
    </w:p>
    <w:p w14:paraId="12BBD6EA" w14:textId="77777777" w:rsidR="005101A9" w:rsidRDefault="005101A9" w:rsidP="005101A9">
      <w:pPr>
        <w:pStyle w:val="Paragrafoelenco"/>
        <w:numPr>
          <w:ilvl w:val="0"/>
          <w:numId w:val="9"/>
        </w:numPr>
        <w:jc w:val="both"/>
        <w:rPr>
          <w:sz w:val="24"/>
          <w:szCs w:val="24"/>
          <w:lang w:eastAsia="en-GB"/>
        </w:rPr>
      </w:pPr>
      <w:r>
        <w:rPr>
          <w:sz w:val="24"/>
          <w:szCs w:val="24"/>
          <w:lang w:eastAsia="en-GB"/>
        </w:rPr>
        <w:t>i</w:t>
      </w:r>
      <w:r w:rsidRPr="008C5096">
        <w:rPr>
          <w:sz w:val="24"/>
          <w:szCs w:val="24"/>
          <w:lang w:eastAsia="en-GB"/>
        </w:rPr>
        <w:t xml:space="preserve">n </w:t>
      </w:r>
      <w:r>
        <w:rPr>
          <w:sz w:val="24"/>
          <w:szCs w:val="24"/>
          <w:lang w:eastAsia="en-GB"/>
        </w:rPr>
        <w:t>maniera integrale le partite di costo allocate sulle destinazioni contabili specifiche del servizio erogato presso il singolo comune, secondo quanto predisposto dal sistema di c</w:t>
      </w:r>
      <w:r w:rsidRPr="008C5096">
        <w:rPr>
          <w:sz w:val="24"/>
          <w:szCs w:val="24"/>
          <w:lang w:eastAsia="en-GB"/>
        </w:rPr>
        <w:t>ontabilità analitico-gestionale</w:t>
      </w:r>
      <w:r>
        <w:rPr>
          <w:sz w:val="24"/>
          <w:szCs w:val="24"/>
          <w:lang w:eastAsia="en-GB"/>
        </w:rPr>
        <w:t>; si tratta essenzialmente di costi di smaltimento/trattamento/recupero, costi per servizi affidati a terzi, costi di materiali;</w:t>
      </w:r>
    </w:p>
    <w:p w14:paraId="4B308EEC" w14:textId="77777777" w:rsidR="005101A9" w:rsidRDefault="005101A9" w:rsidP="005101A9">
      <w:pPr>
        <w:pStyle w:val="Paragrafoelenco"/>
        <w:numPr>
          <w:ilvl w:val="0"/>
          <w:numId w:val="9"/>
        </w:numPr>
        <w:jc w:val="both"/>
        <w:rPr>
          <w:sz w:val="24"/>
          <w:szCs w:val="24"/>
          <w:lang w:eastAsia="en-GB"/>
        </w:rPr>
      </w:pPr>
      <w:r>
        <w:rPr>
          <w:sz w:val="24"/>
          <w:szCs w:val="24"/>
          <w:lang w:eastAsia="en-GB"/>
        </w:rPr>
        <w:t>i costi del personale interno e i costi di esercizio e manutenzione di automezzi ed attrezzature in ragione delle ore effettivamente prestate per lo svolgimento dei servizi nel comune, rilevate dai sistemi ERP aziendali alimentati dagli ordini di lavoro evasi dal personale in servizio.</w:t>
      </w:r>
    </w:p>
    <w:p w14:paraId="20E7CB41" w14:textId="77777777" w:rsidR="005101A9" w:rsidRDefault="005101A9" w:rsidP="005101A9">
      <w:r>
        <w:t>Nella determinazione dei costi per il 2022-2025, sono state scorporate dai costi consuntivi 2020 le spese afferenti all’erogazione del servizio di diserbo (escluso dal perimetro gestionale di Aprica e dal perimetro regolatorio).</w:t>
      </w:r>
    </w:p>
    <w:p w14:paraId="776D3615" w14:textId="77777777" w:rsidR="005101A9" w:rsidRPr="008C64AD" w:rsidRDefault="005101A9" w:rsidP="005101A9">
      <w:pPr>
        <w:rPr>
          <w:lang w:eastAsia="en-GB"/>
        </w:rPr>
      </w:pPr>
    </w:p>
    <w:p w14:paraId="33C0A9AF" w14:textId="77777777" w:rsidR="000B3841" w:rsidRPr="00825002" w:rsidRDefault="000B3841" w:rsidP="000B3841">
      <w:pPr>
        <w:rPr>
          <w:b/>
          <w:lang w:eastAsia="en-GB"/>
        </w:rPr>
      </w:pPr>
      <w:r w:rsidRPr="00825002">
        <w:rPr>
          <w:b/>
          <w:lang w:eastAsia="en-GB"/>
        </w:rPr>
        <w:t>Costi generali di gestione (CGG)</w:t>
      </w:r>
    </w:p>
    <w:p w14:paraId="013A6157" w14:textId="77777777" w:rsidR="005101A9" w:rsidRDefault="005101A9" w:rsidP="005101A9">
      <w:pPr>
        <w:rPr>
          <w:lang w:eastAsia="en-GB"/>
        </w:rPr>
      </w:pPr>
      <w:r w:rsidRPr="008C5096">
        <w:rPr>
          <w:lang w:eastAsia="en-GB"/>
        </w:rPr>
        <w:t xml:space="preserve">Si è proceduto ad un’analisi di dettaglio delle singole partite di conto economico </w:t>
      </w:r>
      <w:r>
        <w:rPr>
          <w:lang w:eastAsia="en-GB"/>
        </w:rPr>
        <w:t xml:space="preserve">registrate nel sistema di contabilità aziendale e sono state definite ed allocate due tipologie di costi generali di seguito descritte: </w:t>
      </w:r>
    </w:p>
    <w:p w14:paraId="37B4F403" w14:textId="158506C6" w:rsidR="005101A9" w:rsidRDefault="005101A9" w:rsidP="005101A9">
      <w:pPr>
        <w:pStyle w:val="Paragrafoelenco"/>
        <w:numPr>
          <w:ilvl w:val="0"/>
          <w:numId w:val="10"/>
        </w:numPr>
        <w:jc w:val="both"/>
        <w:rPr>
          <w:sz w:val="24"/>
          <w:szCs w:val="24"/>
          <w:lang w:eastAsia="en-GB"/>
        </w:rPr>
      </w:pPr>
      <w:r>
        <w:rPr>
          <w:sz w:val="24"/>
          <w:szCs w:val="24"/>
          <w:lang w:eastAsia="en-GB"/>
        </w:rPr>
        <w:t xml:space="preserve">costi generali di sede, relativi al funzionamento della sede logistica aziendale responsabile dell’erogazione del servizio presso il </w:t>
      </w:r>
      <w:r w:rsidR="004251A3">
        <w:rPr>
          <w:sz w:val="24"/>
          <w:szCs w:val="24"/>
          <w:lang w:eastAsia="en-GB"/>
        </w:rPr>
        <w:t>C</w:t>
      </w:r>
      <w:r>
        <w:rPr>
          <w:sz w:val="24"/>
          <w:szCs w:val="24"/>
          <w:lang w:eastAsia="en-GB"/>
        </w:rPr>
        <w:t xml:space="preserve">omune; tali costi sono stati attribuiti alle singole gestioni dei soli comuni serviti da quella sede in ragione dei costi attribuiti alle voci </w:t>
      </w:r>
      <w:r w:rsidRPr="005A2DFA">
        <w:rPr>
          <w:sz w:val="24"/>
          <w:szCs w:val="24"/>
          <w:lang w:eastAsia="en-GB"/>
        </w:rPr>
        <w:t xml:space="preserve">CRT, </w:t>
      </w:r>
      <w:r>
        <w:rPr>
          <w:sz w:val="24"/>
          <w:szCs w:val="24"/>
          <w:lang w:eastAsia="en-GB"/>
        </w:rPr>
        <w:t xml:space="preserve">CRD, </w:t>
      </w:r>
      <w:r w:rsidRPr="005A2DFA">
        <w:rPr>
          <w:sz w:val="24"/>
          <w:szCs w:val="24"/>
          <w:lang w:eastAsia="en-GB"/>
        </w:rPr>
        <w:t>CTS, CTR, CSL</w:t>
      </w:r>
      <w:r>
        <w:rPr>
          <w:sz w:val="24"/>
          <w:szCs w:val="24"/>
          <w:lang w:eastAsia="en-GB"/>
        </w:rPr>
        <w:t>, secondo quanto illustrato sopra;</w:t>
      </w:r>
    </w:p>
    <w:p w14:paraId="3401F3C7" w14:textId="77777777" w:rsidR="00ED56CA" w:rsidRPr="000527E5" w:rsidRDefault="005101A9" w:rsidP="000B3841">
      <w:pPr>
        <w:pStyle w:val="Paragrafoelenco"/>
        <w:numPr>
          <w:ilvl w:val="0"/>
          <w:numId w:val="10"/>
        </w:numPr>
        <w:jc w:val="both"/>
        <w:rPr>
          <w:sz w:val="24"/>
          <w:szCs w:val="24"/>
          <w:lang w:eastAsia="en-GB"/>
        </w:rPr>
      </w:pPr>
      <w:r>
        <w:rPr>
          <w:sz w:val="24"/>
          <w:szCs w:val="24"/>
          <w:lang w:eastAsia="en-GB"/>
        </w:rPr>
        <w:t xml:space="preserve">costi generali aziendali, relativi al funzionamento dell’azienda nel suo complesso (costi di staff, costi </w:t>
      </w:r>
      <w:r w:rsidRPr="00372111">
        <w:rPr>
          <w:sz w:val="24"/>
          <w:szCs w:val="24"/>
          <w:lang w:eastAsia="en-GB"/>
        </w:rPr>
        <w:t>amministrativi, …); tali costi sono stati attribuiti a tutte le gestioni, nonché ai servizi erogati dall’azienda non rientranti nel perimetro</w:t>
      </w:r>
      <w:r>
        <w:rPr>
          <w:sz w:val="24"/>
          <w:szCs w:val="24"/>
          <w:lang w:eastAsia="en-GB"/>
        </w:rPr>
        <w:t xml:space="preserve"> di regolazione di ARERA, in ragione dei costi attribuiti a seguito del processo illustrato sopra.</w:t>
      </w:r>
    </w:p>
    <w:p w14:paraId="49F1F2AF" w14:textId="77777777" w:rsidR="00ED56CA" w:rsidRDefault="00ED56CA" w:rsidP="000B3841">
      <w:pPr>
        <w:rPr>
          <w:b/>
          <w:bCs/>
          <w:vertAlign w:val="subscript"/>
          <w:lang w:eastAsia="en-GB"/>
        </w:rPr>
      </w:pPr>
      <w:bookmarkStart w:id="22" w:name="_Hlk87535262"/>
      <w:bookmarkStart w:id="23" w:name="_Hlk87535372"/>
      <w:r w:rsidRPr="004E796B">
        <w:rPr>
          <w:b/>
          <w:bCs/>
          <w:lang w:eastAsia="en-GB"/>
        </w:rPr>
        <w:t>CO</w:t>
      </w:r>
      <w:r w:rsidRPr="004E796B">
        <w:rPr>
          <w:b/>
          <w:bCs/>
          <w:vertAlign w:val="subscript"/>
          <w:lang w:eastAsia="en-GB"/>
        </w:rPr>
        <w:t>AL</w:t>
      </w:r>
    </w:p>
    <w:bookmarkEnd w:id="22"/>
    <w:p w14:paraId="61F7F1CC" w14:textId="77777777" w:rsidR="00ED56CA" w:rsidRPr="00ED56CA" w:rsidRDefault="00ED56CA" w:rsidP="00ED56CA">
      <w:pPr>
        <w:autoSpaceDE w:val="0"/>
        <w:autoSpaceDN w:val="0"/>
        <w:adjustRightInd w:val="0"/>
        <w:rPr>
          <w:b/>
          <w:bCs/>
          <w:lang w:eastAsia="en-GB"/>
        </w:rPr>
      </w:pPr>
      <w:r w:rsidRPr="00ED56CA">
        <w:rPr>
          <w:lang w:eastAsia="en-GB"/>
        </w:rPr>
        <w:t>Per il calcolo della componente CO</w:t>
      </w:r>
      <w:r w:rsidRPr="00ED56CA">
        <w:rPr>
          <w:vertAlign w:val="subscript"/>
          <w:lang w:eastAsia="en-GB"/>
        </w:rPr>
        <w:t>AL</w:t>
      </w:r>
      <w:r w:rsidRPr="00ED56CA">
        <w:rPr>
          <w:lang w:eastAsia="en-GB"/>
        </w:rPr>
        <w:t>, è stato esposto il contributo obbligatorio di funzionamento ARERA pari allo 0,30 per mille dei ricavi attesi.</w:t>
      </w:r>
    </w:p>
    <w:bookmarkEnd w:id="23"/>
    <w:p w14:paraId="0004113B" w14:textId="77777777" w:rsidR="008C5096" w:rsidRDefault="008C5096" w:rsidP="00B96095">
      <w:pPr>
        <w:rPr>
          <w:lang w:eastAsia="en-GB"/>
        </w:rPr>
      </w:pPr>
    </w:p>
    <w:p w14:paraId="3715AA0C" w14:textId="77777777" w:rsidR="000527E5" w:rsidRDefault="000527E5" w:rsidP="00B96095">
      <w:pPr>
        <w:rPr>
          <w:lang w:eastAsia="en-GB"/>
        </w:rPr>
      </w:pPr>
    </w:p>
    <w:p w14:paraId="55296F3E" w14:textId="77777777" w:rsidR="00CF3168" w:rsidRPr="00773DFA" w:rsidRDefault="00CF3168" w:rsidP="00F613AA">
      <w:pPr>
        <w:pStyle w:val="Titolo3"/>
      </w:pPr>
      <w:bookmarkStart w:id="24" w:name="_Toc92569720"/>
      <w:r w:rsidRPr="00773DFA">
        <w:t>Focus su</w:t>
      </w:r>
      <w:r w:rsidR="00CD2798">
        <w:t>gli altri ricavi</w:t>
      </w:r>
      <w:bookmarkEnd w:id="24"/>
      <w:r w:rsidR="006C2EA8" w:rsidRPr="00773DFA">
        <w:t xml:space="preserve"> </w:t>
      </w:r>
    </w:p>
    <w:p w14:paraId="319D7FE8" w14:textId="77777777" w:rsidR="00EA099E" w:rsidRDefault="00EA099E" w:rsidP="00EA099E">
      <w:pPr>
        <w:rPr>
          <w:lang w:eastAsia="en-GB"/>
        </w:rPr>
      </w:pPr>
      <w:r w:rsidRPr="00106034">
        <w:rPr>
          <w:lang w:eastAsia="en-GB"/>
        </w:rPr>
        <w:t>Con riferimento all’anno 202</w:t>
      </w:r>
      <w:r>
        <w:rPr>
          <w:lang w:eastAsia="en-GB"/>
        </w:rPr>
        <w:t>2</w:t>
      </w:r>
      <w:r w:rsidRPr="00106034">
        <w:rPr>
          <w:sz w:val="23"/>
          <w:szCs w:val="23"/>
        </w:rPr>
        <w:t xml:space="preserve">, le componenti di </w:t>
      </w:r>
      <w:r>
        <w:rPr>
          <w:sz w:val="23"/>
          <w:szCs w:val="23"/>
        </w:rPr>
        <w:t xml:space="preserve">ricavo </w:t>
      </w:r>
      <w:r w:rsidRPr="00FD17DC">
        <w:rPr>
          <w:sz w:val="23"/>
          <w:szCs w:val="23"/>
        </w:rPr>
        <w:t xml:space="preserve">derivanti da vendita di materiali e/o energia </w:t>
      </w:r>
      <w:r w:rsidRPr="00106034">
        <w:rPr>
          <w:sz w:val="23"/>
          <w:szCs w:val="23"/>
        </w:rPr>
        <w:t xml:space="preserve">riportate nel PEF sono riconciliate con la somma </w:t>
      </w:r>
      <w:r w:rsidRPr="00106034">
        <w:rPr>
          <w:lang w:eastAsia="en-GB"/>
        </w:rPr>
        <w:t xml:space="preserve">dei </w:t>
      </w:r>
      <w:r>
        <w:rPr>
          <w:lang w:eastAsia="en-GB"/>
        </w:rPr>
        <w:t>ricavi</w:t>
      </w:r>
      <w:r w:rsidRPr="00106034">
        <w:rPr>
          <w:lang w:eastAsia="en-GB"/>
        </w:rPr>
        <w:t xml:space="preserve"> effettivamente </w:t>
      </w:r>
      <w:r>
        <w:rPr>
          <w:lang w:eastAsia="en-GB"/>
        </w:rPr>
        <w:t>conseguiti</w:t>
      </w:r>
      <w:r w:rsidRPr="00106034">
        <w:rPr>
          <w:lang w:eastAsia="en-GB"/>
        </w:rPr>
        <w:t xml:space="preserve"> dal gestore nell’ann</w:t>
      </w:r>
      <w:r>
        <w:rPr>
          <w:lang w:eastAsia="en-GB"/>
        </w:rPr>
        <w:t xml:space="preserve">o 2020 e riportate al 2022 nel rispetto di quanto previsto nella </w:t>
      </w:r>
      <w:r w:rsidRPr="00C078E5">
        <w:rPr>
          <w:lang w:eastAsia="en-GB"/>
        </w:rPr>
        <w:t>Deliberazione ARERA n.</w:t>
      </w:r>
      <w:r>
        <w:rPr>
          <w:lang w:eastAsia="en-GB"/>
        </w:rPr>
        <w:t>363</w:t>
      </w:r>
      <w:r w:rsidRPr="00C078E5">
        <w:rPr>
          <w:lang w:eastAsia="en-GB"/>
        </w:rPr>
        <w:t>/20</w:t>
      </w:r>
      <w:r>
        <w:rPr>
          <w:lang w:eastAsia="en-GB"/>
        </w:rPr>
        <w:t>21</w:t>
      </w:r>
      <w:r w:rsidRPr="00C078E5">
        <w:rPr>
          <w:lang w:eastAsia="en-GB"/>
        </w:rPr>
        <w:t>/R/RIF</w:t>
      </w:r>
      <w:r>
        <w:rPr>
          <w:lang w:eastAsia="en-GB"/>
        </w:rPr>
        <w:t>.</w:t>
      </w:r>
    </w:p>
    <w:p w14:paraId="0240ADB8" w14:textId="77777777" w:rsidR="00EA099E" w:rsidRDefault="00EA099E" w:rsidP="00EA099E">
      <w:pPr>
        <w:rPr>
          <w:lang w:eastAsia="en-GB"/>
        </w:rPr>
      </w:pPr>
      <w:r>
        <w:rPr>
          <w:lang w:eastAsia="en-GB"/>
        </w:rPr>
        <w:t>Tali ricavi sono stati individuati a seguito di</w:t>
      </w:r>
      <w:r w:rsidRPr="008C5096">
        <w:rPr>
          <w:lang w:eastAsia="en-GB"/>
        </w:rPr>
        <w:t xml:space="preserve"> un’analisi di dettaglio delle singole partite di conto economico </w:t>
      </w:r>
      <w:r>
        <w:rPr>
          <w:lang w:eastAsia="en-GB"/>
        </w:rPr>
        <w:t>registrate nel sistema di contabilità aziendale, ed attribuiti alle due voci AR</w:t>
      </w:r>
      <w:r w:rsidRPr="00FD17DC">
        <w:rPr>
          <w:vertAlign w:val="subscript"/>
          <w:lang w:eastAsia="en-GB"/>
        </w:rPr>
        <w:t>a</w:t>
      </w:r>
      <w:r>
        <w:rPr>
          <w:lang w:eastAsia="en-GB"/>
        </w:rPr>
        <w:t xml:space="preserve"> e ARsc</w:t>
      </w:r>
      <w:r w:rsidRPr="00FD17DC">
        <w:rPr>
          <w:vertAlign w:val="subscript"/>
          <w:lang w:eastAsia="en-GB"/>
        </w:rPr>
        <w:t>,a</w:t>
      </w:r>
      <w:r>
        <w:rPr>
          <w:lang w:eastAsia="en-GB"/>
        </w:rPr>
        <w:t xml:space="preserve"> a seconda del cliente di fatturazione (rispettivamente: un operatore di mercato o un consorzio di materiali aderente al </w:t>
      </w:r>
      <w:r w:rsidRPr="00FD17DC">
        <w:rPr>
          <w:lang w:eastAsia="en-GB"/>
        </w:rPr>
        <w:t>CONAI</w:t>
      </w:r>
      <w:r>
        <w:rPr>
          <w:lang w:eastAsia="en-GB"/>
        </w:rPr>
        <w:t xml:space="preserve"> - </w:t>
      </w:r>
      <w:r w:rsidRPr="00FD17DC">
        <w:rPr>
          <w:lang w:eastAsia="en-GB"/>
        </w:rPr>
        <w:t>Consorzio Nazionale Imballaggi</w:t>
      </w:r>
      <w:r>
        <w:rPr>
          <w:lang w:eastAsia="en-GB"/>
        </w:rPr>
        <w:t>).</w:t>
      </w:r>
    </w:p>
    <w:p w14:paraId="0655156F" w14:textId="77777777" w:rsidR="00EA099E" w:rsidRDefault="00EA099E" w:rsidP="00EA099E">
      <w:pPr>
        <w:rPr>
          <w:lang w:eastAsia="en-GB"/>
        </w:rPr>
      </w:pPr>
      <w:r>
        <w:rPr>
          <w:lang w:eastAsia="en-GB"/>
        </w:rPr>
        <w:t>Per l’allocazione di tali ricavi alle singole gestioni sono stati utilizzati i due criteri seguenti:</w:t>
      </w:r>
    </w:p>
    <w:p w14:paraId="0923EF8A" w14:textId="2B619786" w:rsidR="00EA099E" w:rsidRDefault="00EA099E" w:rsidP="00EA099E">
      <w:pPr>
        <w:pStyle w:val="Paragrafoelenco"/>
        <w:numPr>
          <w:ilvl w:val="0"/>
          <w:numId w:val="9"/>
        </w:numPr>
        <w:jc w:val="both"/>
        <w:rPr>
          <w:sz w:val="24"/>
          <w:szCs w:val="24"/>
          <w:lang w:eastAsia="en-GB"/>
        </w:rPr>
      </w:pPr>
      <w:r>
        <w:rPr>
          <w:sz w:val="24"/>
          <w:szCs w:val="24"/>
          <w:lang w:eastAsia="en-GB"/>
        </w:rPr>
        <w:t xml:space="preserve">attribuzione integrale per le partite di ricavo allocate sulle destinazioni contabili specifiche del servizio presso il </w:t>
      </w:r>
      <w:r w:rsidR="005A5435">
        <w:rPr>
          <w:sz w:val="24"/>
          <w:szCs w:val="24"/>
          <w:lang w:eastAsia="en-GB"/>
        </w:rPr>
        <w:t>C</w:t>
      </w:r>
      <w:r>
        <w:rPr>
          <w:sz w:val="24"/>
          <w:szCs w:val="24"/>
          <w:lang w:eastAsia="en-GB"/>
        </w:rPr>
        <w:t>omune, secondo quanto predisposto dal sistema di c</w:t>
      </w:r>
      <w:r w:rsidRPr="008C5096">
        <w:rPr>
          <w:sz w:val="24"/>
          <w:szCs w:val="24"/>
          <w:lang w:eastAsia="en-GB"/>
        </w:rPr>
        <w:t>ontabilità analitico-gestionale</w:t>
      </w:r>
      <w:r>
        <w:rPr>
          <w:sz w:val="24"/>
          <w:szCs w:val="24"/>
          <w:lang w:eastAsia="en-GB"/>
        </w:rPr>
        <w:t>;</w:t>
      </w:r>
    </w:p>
    <w:p w14:paraId="42A92BAF" w14:textId="77777777" w:rsidR="00EA099E" w:rsidRPr="00B57E1A" w:rsidRDefault="00EA099E" w:rsidP="00EA099E">
      <w:pPr>
        <w:pStyle w:val="Paragrafoelenco"/>
        <w:numPr>
          <w:ilvl w:val="0"/>
          <w:numId w:val="9"/>
        </w:numPr>
        <w:jc w:val="both"/>
        <w:rPr>
          <w:b/>
          <w:lang w:eastAsia="en-GB"/>
        </w:rPr>
      </w:pPr>
      <w:r>
        <w:rPr>
          <w:sz w:val="24"/>
          <w:szCs w:val="24"/>
          <w:lang w:eastAsia="en-GB"/>
        </w:rPr>
        <w:t xml:space="preserve">attribuzione pro quota per le partite di ricavo riferite a flussi di rifiuti che accorpano più gestioni, utilizzando come driver i quantitativi raccolti su ogni singola gestione risultanti dai </w:t>
      </w:r>
      <w:r>
        <w:rPr>
          <w:sz w:val="24"/>
          <w:szCs w:val="24"/>
          <w:lang w:eastAsia="en-GB"/>
        </w:rPr>
        <w:lastRenderedPageBreak/>
        <w:t>dai sistemi ERP aziendali alimentati dai formulari di identificazione dei rifiuti e/o documenti di trasporto e di pesata.</w:t>
      </w:r>
    </w:p>
    <w:p w14:paraId="6EFDA9BF" w14:textId="77777777" w:rsidR="00EA099E" w:rsidRPr="000816FB" w:rsidRDefault="00EA099E" w:rsidP="00EA099E">
      <w:pPr>
        <w:rPr>
          <w:lang w:eastAsia="en-GB"/>
        </w:rPr>
      </w:pPr>
      <w:r w:rsidRPr="000816FB">
        <w:rPr>
          <w:lang w:eastAsia="en-GB"/>
        </w:rPr>
        <w:t xml:space="preserve">L’entità dei ricavi derivanti dai corrispettivi riconosciuti dal CONAI e della vendita di materiale ed energia derivante dai rifiuti è desumibile dai valori indicati nello schema PEF </w:t>
      </w:r>
      <w:r>
        <w:rPr>
          <w:lang w:eastAsia="en-GB"/>
        </w:rPr>
        <w:t>2022-2025</w:t>
      </w:r>
      <w:r w:rsidRPr="000816FB">
        <w:rPr>
          <w:lang w:eastAsia="en-GB"/>
        </w:rPr>
        <w:t>.</w:t>
      </w:r>
    </w:p>
    <w:p w14:paraId="14660125" w14:textId="77777777" w:rsidR="002311C4" w:rsidRDefault="002311C4" w:rsidP="00A94BD8">
      <w:pPr>
        <w:rPr>
          <w:lang w:eastAsia="en-GB"/>
        </w:rPr>
      </w:pPr>
    </w:p>
    <w:p w14:paraId="2846AC8E" w14:textId="77777777" w:rsidR="00B060DE" w:rsidRPr="00BC5306" w:rsidRDefault="00B060DE" w:rsidP="00A94BD8">
      <w:pPr>
        <w:rPr>
          <w:lang w:eastAsia="en-GB"/>
        </w:rPr>
      </w:pPr>
    </w:p>
    <w:p w14:paraId="3A567B55" w14:textId="77777777" w:rsidR="000B3841" w:rsidRPr="00800413" w:rsidRDefault="00DA6D17" w:rsidP="00DA6D17">
      <w:pPr>
        <w:pStyle w:val="Titolo3"/>
      </w:pPr>
      <w:bookmarkStart w:id="25" w:name="_Toc23417920"/>
      <w:bookmarkStart w:id="26" w:name="_Toc23418037"/>
      <w:bookmarkStart w:id="27" w:name="_Toc23418163"/>
      <w:bookmarkStart w:id="28" w:name="_Toc23417921"/>
      <w:bookmarkStart w:id="29" w:name="_Toc23418038"/>
      <w:bookmarkStart w:id="30" w:name="_Toc23418164"/>
      <w:bookmarkStart w:id="31" w:name="_Toc92569721"/>
      <w:bookmarkEnd w:id="25"/>
      <w:bookmarkEnd w:id="26"/>
      <w:bookmarkEnd w:id="27"/>
      <w:bookmarkEnd w:id="28"/>
      <w:bookmarkEnd w:id="29"/>
      <w:bookmarkEnd w:id="30"/>
      <w:r w:rsidRPr="00800413">
        <w:t>Componenti di costo previsionali</w:t>
      </w:r>
      <w:bookmarkEnd w:id="31"/>
    </w:p>
    <w:p w14:paraId="250FEA79" w14:textId="0EF214E4" w:rsidR="00771934" w:rsidRDefault="007B69BA" w:rsidP="003973BC">
      <w:pPr>
        <w:rPr>
          <w:color w:val="000000"/>
        </w:rPr>
      </w:pPr>
      <w:r w:rsidRPr="00BC5306">
        <w:t xml:space="preserve">Coerentemente con quanto </w:t>
      </w:r>
      <w:r w:rsidR="00E36702" w:rsidRPr="00BC5306">
        <w:t xml:space="preserve">descritto nei precedenti paragrafi 3.1.1 e 3.1.2, </w:t>
      </w:r>
      <w:r w:rsidRPr="00BC5306">
        <w:t xml:space="preserve">sono stati valorizzati COI (Costi Operativi Incentivanti) </w:t>
      </w:r>
      <w:r w:rsidR="00771934">
        <w:t>a copertura degli</w:t>
      </w:r>
      <w:r w:rsidRPr="00BC5306">
        <w:t xml:space="preserve"> oneri attesi connessi al conseguimento di target riconducibili a modifiche del perimetro gestionale</w:t>
      </w:r>
      <w:r w:rsidR="00771934">
        <w:t>,</w:t>
      </w:r>
      <w:r w:rsidRPr="00BC5306">
        <w:t xml:space="preserve"> dei processi tecnici gestiti, </w:t>
      </w:r>
      <w:r w:rsidR="00771934">
        <w:t>ed</w:t>
      </w:r>
      <w:r w:rsidRPr="00BC5306">
        <w:t xml:space="preserve"> all’introduzione di standard e livelli qualitativi migliorativi (o ulteriori) rispetto a quelli minimi fissati dalla regolazione, </w:t>
      </w:r>
      <w:r w:rsidR="00F54821" w:rsidRPr="00BC5306">
        <w:t>fatto salvo quanto previsto dalla disciplina della qualità contrattuale e tecnica.</w:t>
      </w:r>
      <w:r w:rsidR="00771934">
        <w:t xml:space="preserve"> In particolare</w:t>
      </w:r>
      <w:r w:rsidR="003973BC">
        <w:t xml:space="preserve"> </w:t>
      </w:r>
      <w:r w:rsidR="00127293" w:rsidRPr="00A473B1">
        <w:rPr>
          <w:color w:val="000000"/>
        </w:rPr>
        <w:t xml:space="preserve">sono stati valorizzati 200.000 €/anno </w:t>
      </w:r>
      <w:r w:rsidR="00A473B1" w:rsidRPr="00A473B1">
        <w:rPr>
          <w:color w:val="000000"/>
        </w:rPr>
        <w:t xml:space="preserve">negli anni 2024 e 2025 </w:t>
      </w:r>
      <w:r w:rsidR="00127293" w:rsidRPr="00A473B1">
        <w:rPr>
          <w:color w:val="000000"/>
        </w:rPr>
        <w:t xml:space="preserve">in </w:t>
      </w:r>
      <w:r w:rsidR="00127293" w:rsidRPr="00A473B1">
        <w:rPr>
          <w:i/>
          <w:iCs/>
          <w:color w:val="000000"/>
          <w:sz w:val="22"/>
          <w:szCs w:val="22"/>
        </w:rPr>
        <w:t>COI</w:t>
      </w:r>
      <w:r w:rsidR="00127293" w:rsidRPr="00A473B1">
        <w:rPr>
          <w:i/>
          <w:iCs/>
          <w:color w:val="000000"/>
          <w:sz w:val="22"/>
          <w:szCs w:val="22"/>
          <w:vertAlign w:val="superscript"/>
        </w:rPr>
        <w:t>EXP</w:t>
      </w:r>
      <w:r w:rsidR="00127293" w:rsidRPr="00A473B1">
        <w:rPr>
          <w:i/>
          <w:iCs/>
          <w:color w:val="000000"/>
          <w:sz w:val="22"/>
          <w:szCs w:val="22"/>
          <w:vertAlign w:val="subscript"/>
        </w:rPr>
        <w:t>TV</w:t>
      </w:r>
      <w:r w:rsidR="00127293" w:rsidRPr="00A473B1">
        <w:rPr>
          <w:color w:val="000000"/>
        </w:rPr>
        <w:t xml:space="preserve"> per la copertura dei costi operativi emergenti dalla </w:t>
      </w:r>
      <w:r w:rsidR="00771934" w:rsidRPr="00A473B1">
        <w:rPr>
          <w:color w:val="000000"/>
        </w:rPr>
        <w:t>realizzazione di un nuovo centro di raccolta.</w:t>
      </w:r>
    </w:p>
    <w:p w14:paraId="78181F57" w14:textId="77777777" w:rsidR="003973BC" w:rsidRPr="00A473B1" w:rsidRDefault="003973BC" w:rsidP="003973BC">
      <w:pPr>
        <w:rPr>
          <w:color w:val="000000"/>
        </w:rPr>
      </w:pPr>
    </w:p>
    <w:p w14:paraId="6EA2E6CA" w14:textId="6511F8C3" w:rsidR="00127293" w:rsidRDefault="00127293" w:rsidP="00127293">
      <w:pPr>
        <w:rPr>
          <w:color w:val="000000"/>
        </w:rPr>
      </w:pPr>
      <w:r w:rsidRPr="00BC5306">
        <w:rPr>
          <w:color w:val="000000"/>
        </w:rPr>
        <w:t xml:space="preserve">Per il periodo 2022-2025 </w:t>
      </w:r>
      <w:r w:rsidR="003973BC">
        <w:rPr>
          <w:color w:val="000000"/>
        </w:rPr>
        <w:t xml:space="preserve">non </w:t>
      </w:r>
      <w:r w:rsidRPr="00BC5306">
        <w:rPr>
          <w:color w:val="000000"/>
        </w:rPr>
        <w:t>si evidenzia in</w:t>
      </w:r>
      <w:r>
        <w:rPr>
          <w:color w:val="000000"/>
        </w:rPr>
        <w:t>oltre</w:t>
      </w:r>
      <w:r w:rsidRPr="00BC5306">
        <w:rPr>
          <w:color w:val="000000"/>
        </w:rPr>
        <w:t xml:space="preserve"> l’esigenza di </w:t>
      </w:r>
      <w:r>
        <w:rPr>
          <w:color w:val="000000"/>
        </w:rPr>
        <w:t xml:space="preserve">prevedere </w:t>
      </w:r>
      <w:r w:rsidRPr="00BC5306">
        <w:rPr>
          <w:color w:val="000000"/>
        </w:rPr>
        <w:t>la copertura dei costi emergenti di natura previsionale (</w:t>
      </w:r>
      <w:r w:rsidRPr="00BC5306">
        <w:rPr>
          <w:color w:val="000000"/>
          <w:sz w:val="22"/>
          <w:szCs w:val="22"/>
        </w:rPr>
        <w:t>CQ</w:t>
      </w:r>
      <w:r w:rsidRPr="00BC5306">
        <w:rPr>
          <w:color w:val="000000"/>
          <w:sz w:val="22"/>
          <w:szCs w:val="22"/>
          <w:vertAlign w:val="superscript"/>
        </w:rPr>
        <w:t>EXP</w:t>
      </w:r>
      <w:r w:rsidRPr="00BC5306">
        <w:rPr>
          <w:color w:val="000000"/>
        </w:rPr>
        <w:t>) per la compliance alla qualità regolata</w:t>
      </w:r>
      <w:r w:rsidR="003973BC">
        <w:rPr>
          <w:color w:val="000000"/>
        </w:rPr>
        <w:t xml:space="preserve"> (in attesa della deliberazione di Arera finale).</w:t>
      </w:r>
    </w:p>
    <w:p w14:paraId="0C6FBB8D" w14:textId="77777777" w:rsidR="003973BC" w:rsidRPr="00BC5306" w:rsidRDefault="003973BC" w:rsidP="00127293">
      <w:pPr>
        <w:rPr>
          <w:color w:val="000000"/>
        </w:rPr>
      </w:pPr>
    </w:p>
    <w:p w14:paraId="2EB2623C" w14:textId="6EFC7DDD" w:rsidR="000677E2" w:rsidRPr="00BC5306" w:rsidRDefault="00127293" w:rsidP="003973BC">
      <w:r w:rsidRPr="00BC5306">
        <w:rPr>
          <w:color w:val="000000"/>
        </w:rPr>
        <w:t xml:space="preserve">Alla data di redazione del presente Piano Economico Finanziario da parte del gestore, ARERA ha emanato il </w:t>
      </w:r>
      <w:r w:rsidR="003973BC">
        <w:rPr>
          <w:color w:val="000000"/>
        </w:rPr>
        <w:t xml:space="preserve">2° </w:t>
      </w:r>
      <w:r w:rsidRPr="00BC5306">
        <w:rPr>
          <w:color w:val="000000"/>
        </w:rPr>
        <w:t xml:space="preserve">DCO 422/2021/R/rif, da cui si evincono gli orientamenti finali dell’Autorità nella regolazione della qualità contrattuale e tecnica del servizio di gestione dei rifiuti urbani, ma non ha ancora emanato la delibera definitiva. </w:t>
      </w:r>
      <w:r w:rsidR="00413997" w:rsidRPr="00BC5306">
        <w:t>Investimenti</w:t>
      </w:r>
    </w:p>
    <w:p w14:paraId="2A0B5007" w14:textId="0BDF7345" w:rsidR="000F1A28" w:rsidRDefault="00093DEA" w:rsidP="00635B94">
      <w:r w:rsidRPr="00BC5306">
        <w:t xml:space="preserve">Per la determinazione degli investimenti previsti </w:t>
      </w:r>
      <w:r w:rsidR="000F1A28">
        <w:t xml:space="preserve">negli anni 2021-2023 </w:t>
      </w:r>
      <w:r w:rsidRPr="00BC5306">
        <w:t>per lo svolgimento del servizio erogato</w:t>
      </w:r>
      <w:r w:rsidR="000F1A28">
        <w:t>, utili per la determinazione dei costi d’uso del capitale per gli anni 2023-2025</w:t>
      </w:r>
      <w:r w:rsidRPr="00BC5306">
        <w:t xml:space="preserve"> si </w:t>
      </w:r>
      <w:r w:rsidR="000F1A28">
        <w:t>sono considerati</w:t>
      </w:r>
      <w:r w:rsidR="00635B94">
        <w:t xml:space="preserve"> </w:t>
      </w:r>
      <w:r w:rsidR="000F1A28">
        <w:t>g</w:t>
      </w:r>
      <w:r w:rsidR="000F1A28" w:rsidRPr="000F1A28">
        <w:t xml:space="preserve">li investimenti </w:t>
      </w:r>
      <w:r w:rsidR="000F1A28">
        <w:t xml:space="preserve">di mantenimento previsti da Aprica nel proprio piano industriale 2021-2030, confluito nel piano industriale 2021-2030 del gruppo A2A, </w:t>
      </w:r>
      <w:r w:rsidR="0046670F">
        <w:t>necessari per il fisiologico turnover di automezzi ed attrezzature</w:t>
      </w:r>
      <w:r w:rsidR="00635B94">
        <w:t>.</w:t>
      </w:r>
    </w:p>
    <w:p w14:paraId="1655C628" w14:textId="77777777" w:rsidR="00635B94" w:rsidRDefault="00635B94" w:rsidP="00635B94"/>
    <w:p w14:paraId="08F0C54D" w14:textId="77777777" w:rsidR="000677E2" w:rsidRPr="00BC5306" w:rsidRDefault="000677E2" w:rsidP="000677E2">
      <w:pPr>
        <w:rPr>
          <w:lang w:eastAsia="en-GB"/>
        </w:rPr>
      </w:pPr>
    </w:p>
    <w:p w14:paraId="17CDBDF8" w14:textId="77777777" w:rsidR="000677E2" w:rsidRPr="00BC5306" w:rsidRDefault="000677E2" w:rsidP="000677E2">
      <w:pPr>
        <w:pStyle w:val="Titolo3"/>
      </w:pPr>
      <w:bookmarkStart w:id="32" w:name="_Toc92569722"/>
      <w:r w:rsidRPr="00BC5306">
        <w:t>Dati relativi ai costi di capitale</w:t>
      </w:r>
      <w:bookmarkEnd w:id="32"/>
    </w:p>
    <w:p w14:paraId="7A208C38" w14:textId="53D532D8" w:rsidR="000F1A28" w:rsidRPr="0046670F" w:rsidRDefault="000F1A28" w:rsidP="000F1A28">
      <w:pPr>
        <w:rPr>
          <w:lang w:eastAsia="en-GB"/>
        </w:rPr>
      </w:pPr>
      <w:r w:rsidRPr="0046670F">
        <w:rPr>
          <w:lang w:eastAsia="en-GB"/>
        </w:rPr>
        <w:t xml:space="preserve">Per la determinazione dei costi d’uso del capitale si è fatto riferimento alle istruzioni contenute agli articoli </w:t>
      </w:r>
      <w:r w:rsidR="008D25B3">
        <w:rPr>
          <w:lang w:eastAsia="en-GB"/>
        </w:rPr>
        <w:t>del Titolo IV</w:t>
      </w:r>
      <w:r w:rsidRPr="0046670F">
        <w:rPr>
          <w:lang w:eastAsia="en-GB"/>
        </w:rPr>
        <w:t xml:space="preserve"> del MTR</w:t>
      </w:r>
      <w:r w:rsidR="008D25B3">
        <w:rPr>
          <w:lang w:eastAsia="en-GB"/>
        </w:rPr>
        <w:t>-2</w:t>
      </w:r>
      <w:r w:rsidRPr="0046670F">
        <w:rPr>
          <w:lang w:eastAsia="en-GB"/>
        </w:rPr>
        <w:t>.</w:t>
      </w:r>
      <w:r w:rsidR="003457EF">
        <w:rPr>
          <w:lang w:eastAsia="en-GB"/>
        </w:rPr>
        <w:t xml:space="preserve"> </w:t>
      </w:r>
      <w:r w:rsidRPr="0046670F">
        <w:rPr>
          <w:lang w:eastAsia="en-GB"/>
        </w:rPr>
        <w:t>Per determinare il valore delle immobilizzazioni</w:t>
      </w:r>
      <w:r w:rsidR="0046670F" w:rsidRPr="0046670F">
        <w:rPr>
          <w:lang w:eastAsia="en-GB"/>
        </w:rPr>
        <w:t xml:space="preserve"> risultanti al 31/12/2020</w:t>
      </w:r>
      <w:r w:rsidRPr="0046670F">
        <w:rPr>
          <w:lang w:eastAsia="en-GB"/>
        </w:rPr>
        <w:t xml:space="preserve"> inerenti al servizio presso il </w:t>
      </w:r>
      <w:r w:rsidR="005A5435">
        <w:rPr>
          <w:lang w:eastAsia="en-GB"/>
        </w:rPr>
        <w:t>C</w:t>
      </w:r>
      <w:r w:rsidRPr="0046670F">
        <w:rPr>
          <w:lang w:eastAsia="en-GB"/>
        </w:rPr>
        <w:t>omune, è stato utilizzato il seguente criterio:</w:t>
      </w:r>
    </w:p>
    <w:p w14:paraId="4DB02F3D" w14:textId="1A8C32C6" w:rsidR="000F1A28" w:rsidRPr="0046670F" w:rsidRDefault="000F1A28" w:rsidP="003457EF">
      <w:pPr>
        <w:pStyle w:val="Paragrafoelenco"/>
        <w:numPr>
          <w:ilvl w:val="0"/>
          <w:numId w:val="13"/>
        </w:numPr>
        <w:ind w:left="426" w:hanging="426"/>
        <w:jc w:val="both"/>
        <w:rPr>
          <w:sz w:val="24"/>
          <w:szCs w:val="24"/>
          <w:lang w:eastAsia="en-GB"/>
        </w:rPr>
      </w:pPr>
      <w:r w:rsidRPr="0046670F">
        <w:rPr>
          <w:sz w:val="24"/>
          <w:szCs w:val="24"/>
          <w:lang w:eastAsia="en-GB"/>
        </w:rPr>
        <w:t xml:space="preserve">attribuzione diretta nei casi in cui l’asset sia dedicato al servizio sul </w:t>
      </w:r>
      <w:r w:rsidR="005A5435">
        <w:rPr>
          <w:sz w:val="24"/>
          <w:szCs w:val="24"/>
          <w:lang w:eastAsia="en-GB"/>
        </w:rPr>
        <w:t>C</w:t>
      </w:r>
      <w:r w:rsidRPr="0046670F">
        <w:rPr>
          <w:sz w:val="24"/>
          <w:szCs w:val="24"/>
          <w:lang w:eastAsia="en-GB"/>
        </w:rPr>
        <w:t>omune (si tratta, in generale, di contenitori, cestini, lavori su isole ecologiche);</w:t>
      </w:r>
    </w:p>
    <w:p w14:paraId="7B110A67" w14:textId="6AAF2B6B" w:rsidR="000F1A28" w:rsidRPr="0046670F" w:rsidRDefault="000F1A28" w:rsidP="003457EF">
      <w:pPr>
        <w:pStyle w:val="Paragrafoelenco"/>
        <w:numPr>
          <w:ilvl w:val="0"/>
          <w:numId w:val="13"/>
        </w:numPr>
        <w:ind w:left="426" w:hanging="426"/>
        <w:jc w:val="both"/>
        <w:rPr>
          <w:sz w:val="24"/>
          <w:szCs w:val="24"/>
          <w:lang w:eastAsia="en-GB"/>
        </w:rPr>
      </w:pPr>
      <w:r w:rsidRPr="0046670F">
        <w:rPr>
          <w:sz w:val="24"/>
          <w:szCs w:val="24"/>
          <w:lang w:eastAsia="en-GB"/>
        </w:rPr>
        <w:t xml:space="preserve">attribuzione pro quota in ragione delle ore effettivamente prestate per lo svolgimento dei servizi nel </w:t>
      </w:r>
      <w:r w:rsidR="005A5435">
        <w:rPr>
          <w:sz w:val="24"/>
          <w:szCs w:val="24"/>
          <w:lang w:eastAsia="en-GB"/>
        </w:rPr>
        <w:t>C</w:t>
      </w:r>
      <w:r w:rsidRPr="0046670F">
        <w:rPr>
          <w:sz w:val="24"/>
          <w:szCs w:val="24"/>
          <w:lang w:eastAsia="en-GB"/>
        </w:rPr>
        <w:t xml:space="preserve">omune, rilevate dai sistemi ERP aziendali alimentati dagli ordini di lavoro evasi dal personale in servizio (si tratta, in generale di automezzi e attrezzature mobili che, pur dedicate esclusivamente allo svolgimento del servizio per il </w:t>
      </w:r>
      <w:r w:rsidR="005A5435">
        <w:rPr>
          <w:sz w:val="24"/>
          <w:szCs w:val="24"/>
          <w:lang w:eastAsia="en-GB"/>
        </w:rPr>
        <w:t>C</w:t>
      </w:r>
      <w:r w:rsidRPr="0046670F">
        <w:rPr>
          <w:sz w:val="24"/>
          <w:szCs w:val="24"/>
          <w:lang w:eastAsia="en-GB"/>
        </w:rPr>
        <w:t>omune di Brescia, vengono utilizzati anche per servizi esterni al perimetro tariffario).</w:t>
      </w:r>
    </w:p>
    <w:p w14:paraId="57C90A0D" w14:textId="77777777" w:rsidR="000F1A28" w:rsidRPr="0046670F" w:rsidRDefault="000F1A28" w:rsidP="000F1A28">
      <w:pPr>
        <w:rPr>
          <w:lang w:eastAsia="en-GB"/>
        </w:rPr>
      </w:pPr>
      <w:r w:rsidRPr="0046670F">
        <w:rPr>
          <w:lang w:eastAsia="en-GB"/>
        </w:rPr>
        <w:t>Per determinare le componenti del Capitale Investito Netto, in aggiunta alle immobilizzazioni nette calcolate secondo il criterio sopra descritto, si è proceduto come segue:</w:t>
      </w:r>
    </w:p>
    <w:p w14:paraId="56937FA5" w14:textId="5D2186A7" w:rsidR="000F1A28" w:rsidRPr="0046670F" w:rsidRDefault="000F1A28" w:rsidP="000F1A28">
      <w:pPr>
        <w:pStyle w:val="Paragrafoelenco"/>
        <w:numPr>
          <w:ilvl w:val="0"/>
          <w:numId w:val="14"/>
        </w:numPr>
        <w:jc w:val="both"/>
        <w:rPr>
          <w:sz w:val="24"/>
          <w:szCs w:val="24"/>
          <w:lang w:eastAsia="en-GB"/>
        </w:rPr>
      </w:pPr>
      <w:r w:rsidRPr="0046670F">
        <w:rPr>
          <w:sz w:val="24"/>
          <w:szCs w:val="24"/>
          <w:lang w:eastAsia="en-GB"/>
        </w:rPr>
        <w:t xml:space="preserve">il capitale circolante netto è stato determinato utilizzando i ricavi commerciali realizzati dal gestore per il servizio al </w:t>
      </w:r>
      <w:r w:rsidR="005A5435">
        <w:rPr>
          <w:sz w:val="24"/>
          <w:szCs w:val="24"/>
          <w:lang w:eastAsia="en-GB"/>
        </w:rPr>
        <w:t>C</w:t>
      </w:r>
      <w:r w:rsidRPr="0046670F">
        <w:rPr>
          <w:sz w:val="24"/>
          <w:szCs w:val="24"/>
          <w:lang w:eastAsia="en-GB"/>
        </w:rPr>
        <w:t>omune nel periodo di riferimento, e la quota parte dei costi, allocati secondo i criteri illustrati al precedente paragrafo 3.2.1, relativi alle voci B6 e B7;</w:t>
      </w:r>
    </w:p>
    <w:p w14:paraId="7394BE7F" w14:textId="6A37AC40" w:rsidR="000F1A28" w:rsidRPr="0046670F" w:rsidRDefault="000F1A28" w:rsidP="000F1A28">
      <w:pPr>
        <w:pStyle w:val="Paragrafoelenco"/>
        <w:numPr>
          <w:ilvl w:val="0"/>
          <w:numId w:val="14"/>
        </w:numPr>
        <w:jc w:val="both"/>
        <w:rPr>
          <w:sz w:val="24"/>
          <w:szCs w:val="24"/>
          <w:lang w:eastAsia="en-GB"/>
        </w:rPr>
      </w:pPr>
      <w:r w:rsidRPr="0046670F">
        <w:rPr>
          <w:sz w:val="24"/>
          <w:szCs w:val="24"/>
          <w:lang w:eastAsia="en-GB"/>
        </w:rPr>
        <w:lastRenderedPageBreak/>
        <w:t xml:space="preserve">le poste rettificative del capitale sono state allocate in ragione delle ore effettivamente prestate per lo svolgimento dei servizi nel </w:t>
      </w:r>
      <w:r w:rsidR="005A5435">
        <w:rPr>
          <w:sz w:val="24"/>
          <w:szCs w:val="24"/>
          <w:lang w:eastAsia="en-GB"/>
        </w:rPr>
        <w:t>C</w:t>
      </w:r>
      <w:r w:rsidRPr="0046670F">
        <w:rPr>
          <w:sz w:val="24"/>
          <w:szCs w:val="24"/>
          <w:lang w:eastAsia="en-GB"/>
        </w:rPr>
        <w:t>omune, rilevate dai sistemi ERP aziendali alimentati dagli ordini di lavoro evasi dal personale in servizio.</w:t>
      </w:r>
    </w:p>
    <w:p w14:paraId="2C5CFB02" w14:textId="77777777" w:rsidR="00725A58" w:rsidRPr="00773DFA" w:rsidRDefault="00725A58" w:rsidP="00725A58">
      <w:pPr>
        <w:rPr>
          <w:lang w:eastAsia="en-GB"/>
        </w:rPr>
      </w:pPr>
    </w:p>
    <w:p w14:paraId="061652B9" w14:textId="77777777" w:rsidR="00891E0B" w:rsidRDefault="00891E0B" w:rsidP="00891E0B">
      <w:pPr>
        <w:pStyle w:val="Titolo1"/>
      </w:pPr>
      <w:bookmarkStart w:id="33" w:name="_Toc92569723"/>
      <w:r>
        <w:t>Attività di validazione</w:t>
      </w:r>
      <w:bookmarkEnd w:id="33"/>
      <w:r>
        <w:t xml:space="preserve">  </w:t>
      </w:r>
    </w:p>
    <w:p w14:paraId="21703244" w14:textId="77777777" w:rsidR="00222F87" w:rsidRDefault="00222F87" w:rsidP="00222F87">
      <w:r w:rsidRPr="00D34510">
        <w:t xml:space="preserve">L’Ente territorialmente competente ha operato la scelta degli opportuni parametri che regolano la determinazione del Piano Economico Finanziario per </w:t>
      </w:r>
      <w:r>
        <w:t>i</w:t>
      </w:r>
      <w:r w:rsidRPr="00D34510">
        <w:t>l</w:t>
      </w:r>
      <w:r>
        <w:t xml:space="preserve"> quadriennio</w:t>
      </w:r>
      <w:r w:rsidRPr="00D34510">
        <w:t xml:space="preserve"> </w:t>
      </w:r>
      <w:r w:rsidRPr="00D34510">
        <w:rPr>
          <w:lang w:eastAsia="en-GB"/>
        </w:rPr>
        <w:t>202</w:t>
      </w:r>
      <w:r>
        <w:rPr>
          <w:lang w:eastAsia="en-GB"/>
        </w:rPr>
        <w:t>2-2025</w:t>
      </w:r>
      <w:r w:rsidRPr="00D34510">
        <w:rPr>
          <w:lang w:eastAsia="en-GB"/>
        </w:rPr>
        <w:t>. Per quanto riguarda la</w:t>
      </w:r>
      <w:r w:rsidRPr="00D34510">
        <w:t xml:space="preserve"> determinazione dei costi efficienti dell</w:t>
      </w:r>
      <w:r>
        <w:t>’</w:t>
      </w:r>
      <w:r w:rsidRPr="00D34510">
        <w:t>annualità 20</w:t>
      </w:r>
      <w:r>
        <w:t>20</w:t>
      </w:r>
      <w:r w:rsidRPr="00D34510">
        <w:t>, l’Ente territorialmente competente ha effettuato un’analisi approfondita a seguito della presentazione ed approvazione del consuntivo 20</w:t>
      </w:r>
      <w:r>
        <w:t>20</w:t>
      </w:r>
      <w:r w:rsidRPr="00D34510">
        <w:t xml:space="preserve"> ed è stato edotto dal gestore delle variazioni </w:t>
      </w:r>
      <w:r>
        <w:t>contemplate dal nuovo metodo tariffario rispetto al precedente</w:t>
      </w:r>
      <w:r w:rsidRPr="00D34510">
        <w:t>.</w:t>
      </w:r>
    </w:p>
    <w:p w14:paraId="684510E0" w14:textId="15A4432E" w:rsidR="00B060DE" w:rsidRDefault="00B060DE" w:rsidP="00222F87"/>
    <w:p w14:paraId="1E596643" w14:textId="77777777" w:rsidR="00E86B27" w:rsidRPr="00901F58" w:rsidRDefault="00E86B27" w:rsidP="00E86B27">
      <w:pPr>
        <w:rPr>
          <w:b/>
          <w:bCs/>
        </w:rPr>
      </w:pPr>
      <w:r w:rsidRPr="00901F58">
        <w:rPr>
          <w:b/>
          <w:bCs/>
        </w:rPr>
        <w:t>L’ETC per l’attività di validazione si è avvalso di un supporto tecnico esterno. Le risultanze delle attività di verifica sono riportate nella relazione di validazione a cui si fa rinvio.</w:t>
      </w:r>
    </w:p>
    <w:p w14:paraId="59B20AE9" w14:textId="77777777" w:rsidR="00E86B27" w:rsidRDefault="00E86B27" w:rsidP="00222F87"/>
    <w:p w14:paraId="3CA547BA" w14:textId="77777777" w:rsidR="00B060DE" w:rsidRPr="00773DFA" w:rsidRDefault="00B060DE" w:rsidP="00222F87"/>
    <w:p w14:paraId="2BBD890E" w14:textId="77777777" w:rsidR="00C87E4E" w:rsidRDefault="00C87E4E" w:rsidP="00C87E4E">
      <w:pPr>
        <w:pStyle w:val="Titolo1"/>
      </w:pPr>
      <w:bookmarkStart w:id="34" w:name="_Toc92569724"/>
      <w:r w:rsidRPr="00773DFA">
        <w:t xml:space="preserve">Valutazioni </w:t>
      </w:r>
      <w:r w:rsidR="00891E0B">
        <w:t>di competenza dell’Ente territorialmente competente</w:t>
      </w:r>
      <w:bookmarkEnd w:id="34"/>
    </w:p>
    <w:p w14:paraId="24C7AD8A" w14:textId="77777777" w:rsidR="003771FA" w:rsidRPr="00773DFA" w:rsidRDefault="00891E0B" w:rsidP="003540AD">
      <w:pPr>
        <w:pStyle w:val="Titolo2"/>
      </w:pPr>
      <w:bookmarkStart w:id="35" w:name="_Toc92569725"/>
      <w:r>
        <w:t>Limite alla crescita annuale delle entrate tariffarie</w:t>
      </w:r>
      <w:bookmarkEnd w:id="35"/>
    </w:p>
    <w:p w14:paraId="1B59463A" w14:textId="77777777" w:rsidR="00222F87" w:rsidRDefault="00222F87" w:rsidP="00222F87">
      <w:r w:rsidRPr="00F40BDA">
        <w:t>Con riferimento al rispetto del limite alla variazione annuale delle entrate tariffarie di cui al comma 4.1 del MTR</w:t>
      </w:r>
      <w:r>
        <w:t>-2</w:t>
      </w:r>
      <w:r w:rsidRPr="00F40BDA">
        <w:t xml:space="preserve">, </w:t>
      </w:r>
      <w:r>
        <w:t xml:space="preserve">ed in coerenza con quanto esposto ai precedenti paragrafi, </w:t>
      </w:r>
      <w:r w:rsidRPr="00F40BDA">
        <w:t xml:space="preserve">i valori attribuiti ai parametri che ne determinano </w:t>
      </w:r>
      <w:r>
        <w:t>l’ammontare sono i seguenti:</w:t>
      </w:r>
    </w:p>
    <w:tbl>
      <w:tblPr>
        <w:tblW w:w="16881" w:type="dxa"/>
        <w:tblCellMar>
          <w:left w:w="70" w:type="dxa"/>
          <w:right w:w="70" w:type="dxa"/>
        </w:tblCellMar>
        <w:tblLook w:val="04A0" w:firstRow="1" w:lastRow="0" w:firstColumn="1" w:lastColumn="0" w:noHBand="0" w:noVBand="1"/>
      </w:tblPr>
      <w:tblGrid>
        <w:gridCol w:w="1543"/>
        <w:gridCol w:w="1434"/>
        <w:gridCol w:w="2276"/>
        <w:gridCol w:w="2400"/>
        <w:gridCol w:w="684"/>
        <w:gridCol w:w="1592"/>
        <w:gridCol w:w="2276"/>
        <w:gridCol w:w="2400"/>
        <w:gridCol w:w="2276"/>
      </w:tblGrid>
      <w:tr w:rsidR="00973F37" w:rsidRPr="00973F37" w14:paraId="383A34A9" w14:textId="77777777" w:rsidTr="00635B94">
        <w:trPr>
          <w:trHeight w:val="660"/>
        </w:trPr>
        <w:tc>
          <w:tcPr>
            <w:tcW w:w="8337" w:type="dxa"/>
            <w:gridSpan w:val="5"/>
            <w:tcBorders>
              <w:top w:val="nil"/>
              <w:left w:val="nil"/>
              <w:bottom w:val="double" w:sz="6" w:space="0" w:color="auto"/>
              <w:right w:val="nil"/>
            </w:tcBorders>
            <w:shd w:val="clear" w:color="000000" w:fill="FFFFFF"/>
            <w:noWrap/>
            <w:vAlign w:val="center"/>
            <w:hideMark/>
          </w:tcPr>
          <w:p w14:paraId="4BD2BF35" w14:textId="77777777" w:rsidR="00973F37" w:rsidRPr="00973F37" w:rsidRDefault="00973F37" w:rsidP="00973F37">
            <w:pPr>
              <w:jc w:val="left"/>
              <w:rPr>
                <w:rFonts w:ascii="Arial Narrow" w:hAnsi="Arial Narrow" w:cs="Calibri"/>
                <w:b/>
                <w:bCs/>
                <w:color w:val="000000"/>
              </w:rPr>
            </w:pPr>
            <w:r w:rsidRPr="00973F37">
              <w:rPr>
                <w:rFonts w:ascii="Arial Narrow" w:hAnsi="Arial Narrow" w:cs="Calibri"/>
                <w:b/>
                <w:bCs/>
                <w:color w:val="000000"/>
              </w:rPr>
              <w:t>Limite alla crescita annuale delle entrate tariffarie</w:t>
            </w:r>
          </w:p>
        </w:tc>
        <w:tc>
          <w:tcPr>
            <w:tcW w:w="1592" w:type="dxa"/>
            <w:tcBorders>
              <w:top w:val="nil"/>
              <w:left w:val="nil"/>
              <w:bottom w:val="double" w:sz="6" w:space="0" w:color="auto"/>
              <w:right w:val="nil"/>
            </w:tcBorders>
            <w:shd w:val="clear" w:color="000000" w:fill="FFFFFF"/>
            <w:noWrap/>
            <w:vAlign w:val="bottom"/>
            <w:hideMark/>
          </w:tcPr>
          <w:p w14:paraId="6EFE1F2E" w14:textId="77777777" w:rsidR="00973F37" w:rsidRPr="00973F37" w:rsidRDefault="00973F37" w:rsidP="00973F37">
            <w:pPr>
              <w:jc w:val="left"/>
              <w:rPr>
                <w:rFonts w:ascii="Arial Narrow" w:hAnsi="Arial Narrow" w:cs="Calibri"/>
                <w:color w:val="000000"/>
              </w:rPr>
            </w:pPr>
            <w:r w:rsidRPr="00973F37">
              <w:rPr>
                <w:rFonts w:ascii="Arial Narrow" w:hAnsi="Arial Narrow" w:cs="Calibri"/>
                <w:color w:val="000000"/>
              </w:rPr>
              <w:t> </w:t>
            </w:r>
          </w:p>
        </w:tc>
        <w:tc>
          <w:tcPr>
            <w:tcW w:w="2276" w:type="dxa"/>
            <w:tcBorders>
              <w:top w:val="nil"/>
              <w:left w:val="nil"/>
              <w:bottom w:val="double" w:sz="6" w:space="0" w:color="auto"/>
              <w:right w:val="nil"/>
            </w:tcBorders>
            <w:shd w:val="clear" w:color="000000" w:fill="FFFFFF"/>
            <w:noWrap/>
            <w:vAlign w:val="bottom"/>
            <w:hideMark/>
          </w:tcPr>
          <w:p w14:paraId="25FF1A21" w14:textId="77777777" w:rsidR="00973F37" w:rsidRPr="00973F37" w:rsidRDefault="00973F37" w:rsidP="00973F37">
            <w:pPr>
              <w:jc w:val="left"/>
              <w:rPr>
                <w:rFonts w:ascii="Arial Narrow" w:hAnsi="Arial Narrow" w:cs="Calibri"/>
                <w:color w:val="000000"/>
              </w:rPr>
            </w:pPr>
            <w:r w:rsidRPr="00973F37">
              <w:rPr>
                <w:rFonts w:ascii="Arial Narrow" w:hAnsi="Arial Narrow" w:cs="Calibri"/>
                <w:color w:val="000000"/>
              </w:rPr>
              <w:t> </w:t>
            </w:r>
          </w:p>
        </w:tc>
        <w:tc>
          <w:tcPr>
            <w:tcW w:w="2400" w:type="dxa"/>
            <w:tcBorders>
              <w:top w:val="nil"/>
              <w:left w:val="nil"/>
              <w:bottom w:val="nil"/>
              <w:right w:val="nil"/>
            </w:tcBorders>
            <w:shd w:val="clear" w:color="auto" w:fill="auto"/>
            <w:noWrap/>
            <w:vAlign w:val="bottom"/>
            <w:hideMark/>
          </w:tcPr>
          <w:p w14:paraId="469A258D" w14:textId="2CA91CF0" w:rsidR="00973F37" w:rsidRPr="00973F37" w:rsidRDefault="00973F37" w:rsidP="00973F37">
            <w:pPr>
              <w:jc w:val="left"/>
              <w:rPr>
                <w:rFonts w:ascii="Arial Narrow" w:hAnsi="Arial Narrow" w:cs="Calibri"/>
                <w:color w:val="000000"/>
              </w:rPr>
            </w:pPr>
            <w:r w:rsidRPr="00973F37">
              <w:rPr>
                <w:rFonts w:ascii="Arial Narrow" w:hAnsi="Arial Narrow" w:cs="Calibri"/>
                <w:noProof/>
                <w:color w:val="000000"/>
              </w:rPr>
              <mc:AlternateContent>
                <mc:Choice Requires="wps">
                  <w:drawing>
                    <wp:anchor distT="0" distB="0" distL="114300" distR="114300" simplePos="0" relativeHeight="251660288" behindDoc="0" locked="0" layoutInCell="1" allowOverlap="1" wp14:anchorId="3C9D2094" wp14:editId="064DF422">
                      <wp:simplePos x="0" y="0"/>
                      <wp:positionH relativeFrom="column">
                        <wp:posOffset>254000</wp:posOffset>
                      </wp:positionH>
                      <wp:positionV relativeFrom="paragraph">
                        <wp:posOffset>25400</wp:posOffset>
                      </wp:positionV>
                      <wp:extent cx="2197100" cy="228600"/>
                      <wp:effectExtent l="0" t="0" r="0" b="0"/>
                      <wp:wrapNone/>
                      <wp:docPr id="3" name="Casella di testo 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EEFF497-E509-43C4-A17A-2ECF045F5B7E}"/>
                          </a:ext>
                        </a:extLst>
                      </wp:docPr>
                      <wp:cNvGraphicFramePr/>
                      <a:graphic xmlns:a="http://schemas.openxmlformats.org/drawingml/2006/main">
                        <a:graphicData uri="http://schemas.microsoft.com/office/word/2010/wordprocessingShape">
                          <wps:wsp>
                            <wps:cNvSpPr txBox="1"/>
                            <wps:spPr>
                              <a:xfrm>
                                <a:off x="0" y="0"/>
                                <a:ext cx="2190750" cy="225126"/>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F78E9AC" w14:textId="77777777" w:rsidR="00973F37" w:rsidRDefault="003810C5" w:rsidP="00973F37">
                                  <w:pPr>
                                    <w:rPr>
                                      <w:rFonts w:ascii="Cambria Math" w:hAnsi="+mn-cs" w:cstheme="minorBidi"/>
                                      <w:i/>
                                      <w:iCs/>
                                      <w:color w:val="000000" w:themeColor="text1"/>
                                      <w:sz w:val="22"/>
                                      <w:szCs w:val="22"/>
                                    </w:rPr>
                                  </w:pPr>
                                  <m:oMath>
                                    <m:f>
                                      <m:fPr>
                                        <m:type m:val="skw"/>
                                        <m:ctrlPr>
                                          <w:rPr>
                                            <w:rFonts w:ascii="Cambria Math" w:eastAsiaTheme="minorEastAsia" w:hAnsi="Cambria Math" w:cstheme="minorBidi"/>
                                            <w:i/>
                                            <w:iCs/>
                                            <w:color w:val="000000" w:themeColor="text1"/>
                                            <w:sz w:val="22"/>
                                            <w:szCs w:val="22"/>
                                          </w:rPr>
                                        </m:ctrlPr>
                                      </m:fPr>
                                      <m:num>
                                        <m:nary>
                                          <m:naryPr>
                                            <m:chr m:val="∑"/>
                                            <m:subHide m:val="1"/>
                                            <m:supHide m:val="1"/>
                                            <m:ctrlPr>
                                              <w:rPr>
                                                <w:rFonts w:ascii="Cambria Math" w:eastAsiaTheme="minorEastAsia" w:hAnsi="Cambria Math" w:cstheme="minorBidi"/>
                                                <w:i/>
                                                <w:iCs/>
                                                <w:color w:val="000000" w:themeColor="text1"/>
                                                <w:sz w:val="22"/>
                                                <w:szCs w:val="22"/>
                                              </w:rPr>
                                            </m:ctrlPr>
                                          </m:naryPr>
                                          <m:sub/>
                                          <m:sup/>
                                          <m:e>
                                            <m:sSub>
                                              <m:sSubPr>
                                                <m:ctrlPr>
                                                  <w:rPr>
                                                    <w:rFonts w:ascii="Cambria Math" w:eastAsiaTheme="minorEastAsia" w:hAnsi="Cambria Math" w:cstheme="minorBidi"/>
                                                    <w:i/>
                                                    <w:iCs/>
                                                    <w:color w:val="000000" w:themeColor="text1"/>
                                                    <w:sz w:val="22"/>
                                                    <w:szCs w:val="22"/>
                                                  </w:rPr>
                                                </m:ctrlPr>
                                              </m:sSubPr>
                                              <m:e>
                                                <m:r>
                                                  <w:rPr>
                                                    <w:rFonts w:ascii="Cambria Math" w:hAnsi="Cambria Math" w:cstheme="minorBidi"/>
                                                    <w:color w:val="000000" w:themeColor="text1"/>
                                                    <w:sz w:val="22"/>
                                                    <w:szCs w:val="22"/>
                                                  </w:rPr>
                                                  <m:t>T</m:t>
                                                </m:r>
                                              </m:e>
                                              <m:sub>
                                                <m:r>
                                                  <w:rPr>
                                                    <w:rFonts w:ascii="Cambria Math" w:hAnsi="Cambria Math" w:cstheme="minorBidi"/>
                                                    <w:color w:val="000000" w:themeColor="text1"/>
                                                    <w:sz w:val="22"/>
                                                    <w:szCs w:val="22"/>
                                                  </w:rPr>
                                                  <m:t>a</m:t>
                                                </m:r>
                                              </m:sub>
                                            </m:sSub>
                                          </m:e>
                                        </m:nary>
                                      </m:num>
                                      <m:den>
                                        <m:nary>
                                          <m:naryPr>
                                            <m:chr m:val="∑"/>
                                            <m:subHide m:val="1"/>
                                            <m:supHide m:val="1"/>
                                            <m:ctrlPr>
                                              <w:rPr>
                                                <w:rFonts w:ascii="Cambria Math" w:eastAsiaTheme="minorEastAsia" w:hAnsi="Cambria Math" w:cstheme="minorBidi"/>
                                                <w:i/>
                                                <w:iCs/>
                                                <w:color w:val="000000" w:themeColor="text1"/>
                                                <w:sz w:val="22"/>
                                                <w:szCs w:val="22"/>
                                              </w:rPr>
                                            </m:ctrlPr>
                                          </m:naryPr>
                                          <m:sub/>
                                          <m:sup/>
                                          <m:e>
                                            <m:sSub>
                                              <m:sSubPr>
                                                <m:ctrlPr>
                                                  <w:rPr>
                                                    <w:rFonts w:ascii="Cambria Math" w:eastAsiaTheme="minorEastAsia" w:hAnsi="Cambria Math" w:cstheme="minorBidi"/>
                                                    <w:i/>
                                                    <w:iCs/>
                                                    <w:color w:val="000000" w:themeColor="text1"/>
                                                    <w:sz w:val="22"/>
                                                    <w:szCs w:val="22"/>
                                                  </w:rPr>
                                                </m:ctrlPr>
                                              </m:sSubPr>
                                              <m:e>
                                                <m:r>
                                                  <w:rPr>
                                                    <w:rFonts w:ascii="Cambria Math" w:hAnsi="Cambria Math" w:cstheme="minorBidi"/>
                                                    <w:color w:val="000000" w:themeColor="text1"/>
                                                    <w:sz w:val="22"/>
                                                    <w:szCs w:val="22"/>
                                                  </w:rPr>
                                                  <m:t>T</m:t>
                                                </m:r>
                                              </m:e>
                                              <m:sub>
                                                <m:r>
                                                  <w:rPr>
                                                    <w:rFonts w:ascii="Cambria Math" w:hAnsi="Cambria Math" w:cstheme="minorBidi"/>
                                                    <w:color w:val="000000" w:themeColor="text1"/>
                                                    <w:sz w:val="22"/>
                                                    <w:szCs w:val="22"/>
                                                  </w:rPr>
                                                  <m:t>a-1</m:t>
                                                </m:r>
                                              </m:sub>
                                            </m:sSub>
                                          </m:e>
                                        </m:nary>
                                      </m:den>
                                    </m:f>
                                  </m:oMath>
                                  <w:r w:rsidR="00973F37">
                                    <w:rPr>
                                      <w:rFonts w:asciiTheme="minorHAnsi" w:hAnsi="Calibri" w:cstheme="minorBidi"/>
                                      <w:i/>
                                      <w:iCs/>
                                      <w:color w:val="000000" w:themeColor="text1"/>
                                      <w:sz w:val="22"/>
                                      <w:szCs w:val="22"/>
                                    </w:rPr>
                                    <w:t xml:space="preserve">  </w:t>
                                  </w:r>
                                  <m:oMath>
                                    <m:r>
                                      <w:rPr>
                                        <w:rFonts w:ascii="Cambria Math" w:hAnsi="Cambria Math" w:cstheme="minorBidi"/>
                                        <w:color w:val="000000" w:themeColor="text1"/>
                                        <w:sz w:val="22"/>
                                        <w:szCs w:val="22"/>
                                      </w:rPr>
                                      <m:t>≤</m:t>
                                    </m:r>
                                  </m:oMath>
                                  <w:r w:rsidR="00973F37">
                                    <w:rPr>
                                      <w:rFonts w:asciiTheme="minorHAnsi" w:hAnsi="Calibri" w:cstheme="minorBidi"/>
                                      <w:i/>
                                      <w:iCs/>
                                      <w:color w:val="000000" w:themeColor="text1"/>
                                      <w:sz w:val="22"/>
                                      <w:szCs w:val="22"/>
                                    </w:rPr>
                                    <w:t xml:space="preserve"> 1+</w:t>
                                  </w:r>
                                  <w:r w:rsidR="00973F37">
                                    <w:rPr>
                                      <w:rFonts w:asciiTheme="minorHAnsi" w:hAnsi="Symbol" w:cstheme="minorBidi"/>
                                      <w:i/>
                                      <w:iCs/>
                                      <w:color w:val="000000" w:themeColor="text1"/>
                                      <w:sz w:val="22"/>
                                      <w:szCs w:val="22"/>
                                    </w:rPr>
                                    <w:sym w:font="Symbol" w:char="F072"/>
                                  </w:r>
                                  <w:r w:rsidR="00973F37">
                                    <w:rPr>
                                      <w:rFonts w:asciiTheme="minorHAnsi" w:hAnsi="Calibri" w:cstheme="minorBidi"/>
                                      <w:i/>
                                      <w:iCs/>
                                      <w:color w:val="000000" w:themeColor="text1"/>
                                      <w:position w:val="-6"/>
                                      <w:sz w:val="22"/>
                                      <w:szCs w:val="22"/>
                                      <w:vertAlign w:val="subscript"/>
                                    </w:rPr>
                                    <w:t xml:space="preserve">a   </w:t>
                                  </w:r>
                                </w:p>
                              </w:txbxContent>
                            </wps:txbx>
                            <wps:bodyPr vertOverflow="clip" horzOverflow="clip" wrap="square" lIns="0" tIns="0" rIns="0" bIns="0" rtlCol="0" anchor="t">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9D2094" id="_x0000_t202" coordsize="21600,21600" o:spt="202" path="m,l,21600r21600,l21600,xe">
                      <v:stroke joinstyle="miter"/>
                      <v:path gradientshapeok="t" o:connecttype="rect"/>
                    </v:shapetype>
                    <v:shape id="Casella di testo 3" o:spid="_x0000_s1026" type="#_x0000_t202" style="position:absolute;margin-left:20pt;margin-top:2pt;width:173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" filled="f" stroked="f">
                      <v:textbox style="mso-fit-shape-to-text:t" inset="0,0,0,0">
                        <w:txbxContent>
                          <w:p w14:paraId="0F78E9AC" w14:textId="77777777" w:rsidR="00973F37" w:rsidRDefault="00341E05" w:rsidP="00973F37">
                            <w:pPr>
                              <w:rPr>
                                <w:rFonts w:ascii="Cambria Math" w:hAnsi="+mn-cs" w:cstheme="minorBidi"/>
                                <w:i/>
                                <w:iCs/>
                                <w:color w:val="000000" w:themeColor="text1"/>
                                <w:sz w:val="22"/>
                                <w:szCs w:val="22"/>
                              </w:rPr>
                            </w:pPr>
                            <m:oMath>
                              <m:f>
                                <m:fPr>
                                  <m:type m:val="skw"/>
                                  <m:ctrlPr>
                                    <w:rPr>
                                      <w:rFonts w:ascii="Cambria Math" w:eastAsiaTheme="minorEastAsia" w:hAnsi="Cambria Math" w:cstheme="minorBidi"/>
                                      <w:i/>
                                      <w:iCs/>
                                      <w:color w:val="000000" w:themeColor="text1"/>
                                      <w:sz w:val="22"/>
                                      <w:szCs w:val="22"/>
                                    </w:rPr>
                                  </m:ctrlPr>
                                </m:fPr>
                                <m:num>
                                  <m:nary>
                                    <m:naryPr>
                                      <m:chr m:val="∑"/>
                                      <m:subHide m:val="1"/>
                                      <m:supHide m:val="1"/>
                                      <m:ctrlPr>
                                        <w:rPr>
                                          <w:rFonts w:ascii="Cambria Math" w:eastAsiaTheme="minorEastAsia" w:hAnsi="Cambria Math" w:cstheme="minorBidi"/>
                                          <w:i/>
                                          <w:iCs/>
                                          <w:color w:val="000000" w:themeColor="text1"/>
                                          <w:sz w:val="22"/>
                                          <w:szCs w:val="22"/>
                                        </w:rPr>
                                      </m:ctrlPr>
                                    </m:naryPr>
                                    <m:sub/>
                                    <m:sup/>
                                    <m:e>
                                      <m:sSub>
                                        <m:sSubPr>
                                          <m:ctrlPr>
                                            <w:rPr>
                                              <w:rFonts w:ascii="Cambria Math" w:eastAsiaTheme="minorEastAsia" w:hAnsi="Cambria Math" w:cstheme="minorBidi"/>
                                              <w:i/>
                                              <w:iCs/>
                                              <w:color w:val="000000" w:themeColor="text1"/>
                                              <w:sz w:val="22"/>
                                              <w:szCs w:val="22"/>
                                            </w:rPr>
                                          </m:ctrlPr>
                                        </m:sSubPr>
                                        <m:e>
                                          <m:r>
                                            <w:rPr>
                                              <w:rFonts w:ascii="Cambria Math" w:hAnsi="Cambria Math" w:cstheme="minorBidi"/>
                                              <w:color w:val="000000" w:themeColor="text1"/>
                                              <w:sz w:val="22"/>
                                              <w:szCs w:val="22"/>
                                            </w:rPr>
                                            <m:t>T</m:t>
                                          </m:r>
                                        </m:e>
                                        <m:sub>
                                          <m:r>
                                            <w:rPr>
                                              <w:rFonts w:ascii="Cambria Math" w:hAnsi="Cambria Math" w:cstheme="minorBidi"/>
                                              <w:color w:val="000000" w:themeColor="text1"/>
                                              <w:sz w:val="22"/>
                                              <w:szCs w:val="22"/>
                                            </w:rPr>
                                            <m:t>a</m:t>
                                          </m:r>
                                        </m:sub>
                                      </m:sSub>
                                    </m:e>
                                  </m:nary>
                                </m:num>
                                <m:den>
                                  <m:nary>
                                    <m:naryPr>
                                      <m:chr m:val="∑"/>
                                      <m:subHide m:val="1"/>
                                      <m:supHide m:val="1"/>
                                      <m:ctrlPr>
                                        <w:rPr>
                                          <w:rFonts w:ascii="Cambria Math" w:eastAsiaTheme="minorEastAsia" w:hAnsi="Cambria Math" w:cstheme="minorBidi"/>
                                          <w:i/>
                                          <w:iCs/>
                                          <w:color w:val="000000" w:themeColor="text1"/>
                                          <w:sz w:val="22"/>
                                          <w:szCs w:val="22"/>
                                        </w:rPr>
                                      </m:ctrlPr>
                                    </m:naryPr>
                                    <m:sub/>
                                    <m:sup/>
                                    <m:e>
                                      <m:sSub>
                                        <m:sSubPr>
                                          <m:ctrlPr>
                                            <w:rPr>
                                              <w:rFonts w:ascii="Cambria Math" w:eastAsiaTheme="minorEastAsia" w:hAnsi="Cambria Math" w:cstheme="minorBidi"/>
                                              <w:i/>
                                              <w:iCs/>
                                              <w:color w:val="000000" w:themeColor="text1"/>
                                              <w:sz w:val="22"/>
                                              <w:szCs w:val="22"/>
                                            </w:rPr>
                                          </m:ctrlPr>
                                        </m:sSubPr>
                                        <m:e>
                                          <m:r>
                                            <w:rPr>
                                              <w:rFonts w:ascii="Cambria Math" w:hAnsi="Cambria Math" w:cstheme="minorBidi"/>
                                              <w:color w:val="000000" w:themeColor="text1"/>
                                              <w:sz w:val="22"/>
                                              <w:szCs w:val="22"/>
                                            </w:rPr>
                                            <m:t>T</m:t>
                                          </m:r>
                                        </m:e>
                                        <m:sub>
                                          <m:r>
                                            <w:rPr>
                                              <w:rFonts w:ascii="Cambria Math" w:hAnsi="Cambria Math" w:cstheme="minorBidi"/>
                                              <w:color w:val="000000" w:themeColor="text1"/>
                                              <w:sz w:val="22"/>
                                              <w:szCs w:val="22"/>
                                            </w:rPr>
                                            <m:t>a-1</m:t>
                                          </m:r>
                                        </m:sub>
                                      </m:sSub>
                                    </m:e>
                                  </m:nary>
                                </m:den>
                              </m:f>
                            </m:oMath>
                            <w:r w:rsidR="00973F37">
                              <w:rPr>
                                <w:rFonts w:asciiTheme="minorHAnsi" w:hAnsi="Calibri" w:cstheme="minorBidi"/>
                                <w:i/>
                                <w:iCs/>
                                <w:color w:val="000000" w:themeColor="text1"/>
                                <w:sz w:val="22"/>
                                <w:szCs w:val="22"/>
                              </w:rPr>
                              <w:t xml:space="preserve">  </w:t>
                            </w:r>
                            <m:oMath>
                              <m:r>
                                <w:rPr>
                                  <w:rFonts w:ascii="Cambria Math" w:hAnsi="Cambria Math" w:cstheme="minorBidi"/>
                                  <w:color w:val="000000" w:themeColor="text1"/>
                                  <w:sz w:val="22"/>
                                  <w:szCs w:val="22"/>
                                </w:rPr>
                                <m:t>≤</m:t>
                              </m:r>
                            </m:oMath>
                            <w:r w:rsidR="00973F37">
                              <w:rPr>
                                <w:rFonts w:asciiTheme="minorHAnsi" w:hAnsi="Calibri" w:cstheme="minorBidi"/>
                                <w:i/>
                                <w:iCs/>
                                <w:color w:val="000000" w:themeColor="text1"/>
                                <w:sz w:val="22"/>
                                <w:szCs w:val="22"/>
                              </w:rPr>
                              <w:t xml:space="preserve"> 1+</w:t>
                            </w:r>
                            <w:r w:rsidR="00973F37">
                              <w:rPr>
                                <w:rFonts w:asciiTheme="minorHAnsi" w:hAnsi="Symbol" w:cstheme="minorBidi"/>
                                <w:i/>
                                <w:iCs/>
                                <w:color w:val="000000" w:themeColor="text1"/>
                                <w:sz w:val="22"/>
                                <w:szCs w:val="22"/>
                              </w:rPr>
                              <w:sym w:font="Symbol" w:char="F072"/>
                            </w:r>
                            <w:r w:rsidR="00973F37">
                              <w:rPr>
                                <w:rFonts w:asciiTheme="minorHAnsi" w:hAnsi="Calibri" w:cstheme="minorBidi"/>
                                <w:i/>
                                <w:iCs/>
                                <w:color w:val="000000" w:themeColor="text1"/>
                                <w:position w:val="-6"/>
                                <w:sz w:val="22"/>
                                <w:szCs w:val="22"/>
                                <w:vertAlign w:val="subscript"/>
                              </w:rPr>
                              <w:t xml:space="preserve">a   </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260"/>
            </w:tblGrid>
            <w:tr w:rsidR="00973F37" w:rsidRPr="00973F37" w14:paraId="58A297C0" w14:textId="77777777">
              <w:trPr>
                <w:trHeight w:val="660"/>
                <w:tblCellSpacing w:w="0" w:type="dxa"/>
              </w:trPr>
              <w:tc>
                <w:tcPr>
                  <w:tcW w:w="2260" w:type="dxa"/>
                  <w:tcBorders>
                    <w:top w:val="nil"/>
                    <w:left w:val="nil"/>
                    <w:bottom w:val="double" w:sz="6" w:space="0" w:color="auto"/>
                    <w:right w:val="nil"/>
                  </w:tcBorders>
                  <w:shd w:val="clear" w:color="000000" w:fill="FFFFFF"/>
                  <w:noWrap/>
                  <w:vAlign w:val="bottom"/>
                  <w:hideMark/>
                </w:tcPr>
                <w:p w14:paraId="229F6997" w14:textId="77777777" w:rsidR="00973F37" w:rsidRPr="00973F37" w:rsidRDefault="00973F37" w:rsidP="00973F37">
                  <w:pPr>
                    <w:jc w:val="left"/>
                    <w:rPr>
                      <w:rFonts w:ascii="Arial Narrow" w:hAnsi="Arial Narrow" w:cs="Calibri"/>
                      <w:color w:val="000000"/>
                    </w:rPr>
                  </w:pPr>
                  <w:r w:rsidRPr="00973F37">
                    <w:rPr>
                      <w:rFonts w:ascii="Arial Narrow" w:hAnsi="Arial Narrow" w:cs="Calibri"/>
                      <w:color w:val="000000"/>
                    </w:rPr>
                    <w:t> </w:t>
                  </w:r>
                </w:p>
              </w:tc>
            </w:tr>
          </w:tbl>
          <w:p w14:paraId="70A48F0B" w14:textId="77777777" w:rsidR="00973F37" w:rsidRPr="00973F37" w:rsidRDefault="00973F37" w:rsidP="00973F37">
            <w:pPr>
              <w:jc w:val="left"/>
              <w:rPr>
                <w:rFonts w:ascii="Arial Narrow" w:hAnsi="Arial Narrow" w:cs="Calibri"/>
                <w:color w:val="000000"/>
              </w:rPr>
            </w:pPr>
          </w:p>
        </w:tc>
        <w:tc>
          <w:tcPr>
            <w:tcW w:w="2276" w:type="dxa"/>
            <w:tcBorders>
              <w:top w:val="nil"/>
              <w:left w:val="nil"/>
              <w:bottom w:val="double" w:sz="6" w:space="0" w:color="auto"/>
              <w:right w:val="nil"/>
            </w:tcBorders>
            <w:shd w:val="clear" w:color="000000" w:fill="FFFFFF"/>
            <w:noWrap/>
            <w:vAlign w:val="bottom"/>
            <w:hideMark/>
          </w:tcPr>
          <w:p w14:paraId="74108138" w14:textId="77777777" w:rsidR="00973F37" w:rsidRPr="00973F37" w:rsidRDefault="00973F37" w:rsidP="00973F37">
            <w:pPr>
              <w:jc w:val="left"/>
              <w:rPr>
                <w:rFonts w:ascii="Arial Narrow" w:hAnsi="Arial Narrow" w:cs="Calibri"/>
                <w:color w:val="000000"/>
              </w:rPr>
            </w:pPr>
            <w:r w:rsidRPr="00973F37">
              <w:rPr>
                <w:rFonts w:ascii="Arial Narrow" w:hAnsi="Arial Narrow" w:cs="Calibri"/>
                <w:color w:val="000000"/>
              </w:rPr>
              <w:t> </w:t>
            </w:r>
          </w:p>
        </w:tc>
      </w:tr>
      <w:tr w:rsidR="00973F37" w:rsidRPr="00973F37" w14:paraId="2F7E5346" w14:textId="77777777" w:rsidTr="00635B94">
        <w:trPr>
          <w:gridAfter w:val="3"/>
          <w:wAfter w:w="6952" w:type="dxa"/>
          <w:trHeight w:val="280"/>
        </w:trPr>
        <w:tc>
          <w:tcPr>
            <w:tcW w:w="1543" w:type="dxa"/>
            <w:tcBorders>
              <w:top w:val="nil"/>
              <w:left w:val="nil"/>
              <w:bottom w:val="nil"/>
              <w:right w:val="nil"/>
            </w:tcBorders>
            <w:shd w:val="clear" w:color="000000" w:fill="FFFFFF"/>
            <w:noWrap/>
            <w:vAlign w:val="bottom"/>
            <w:hideMark/>
          </w:tcPr>
          <w:p w14:paraId="0A1E1A7A"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c>
          <w:tcPr>
            <w:tcW w:w="1434" w:type="dxa"/>
            <w:tcBorders>
              <w:top w:val="nil"/>
              <w:left w:val="nil"/>
              <w:bottom w:val="nil"/>
              <w:right w:val="nil"/>
            </w:tcBorders>
            <w:shd w:val="clear" w:color="000000" w:fill="FFFFFF"/>
            <w:noWrap/>
            <w:vAlign w:val="bottom"/>
            <w:hideMark/>
          </w:tcPr>
          <w:p w14:paraId="3FEA6A5A"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c>
          <w:tcPr>
            <w:tcW w:w="2276" w:type="dxa"/>
            <w:tcBorders>
              <w:top w:val="nil"/>
              <w:left w:val="nil"/>
              <w:bottom w:val="nil"/>
              <w:right w:val="nil"/>
            </w:tcBorders>
            <w:shd w:val="clear" w:color="000000" w:fill="FFFFFF"/>
            <w:noWrap/>
            <w:vAlign w:val="bottom"/>
            <w:hideMark/>
          </w:tcPr>
          <w:p w14:paraId="1EFEC2BC"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c>
          <w:tcPr>
            <w:tcW w:w="2400" w:type="dxa"/>
            <w:tcBorders>
              <w:top w:val="nil"/>
              <w:left w:val="nil"/>
              <w:bottom w:val="nil"/>
              <w:right w:val="nil"/>
            </w:tcBorders>
            <w:shd w:val="clear" w:color="000000" w:fill="FFFFFF"/>
            <w:noWrap/>
            <w:vAlign w:val="bottom"/>
            <w:hideMark/>
          </w:tcPr>
          <w:p w14:paraId="2E815714"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c>
          <w:tcPr>
            <w:tcW w:w="2276" w:type="dxa"/>
            <w:gridSpan w:val="2"/>
            <w:tcBorders>
              <w:top w:val="nil"/>
              <w:left w:val="nil"/>
              <w:bottom w:val="nil"/>
              <w:right w:val="nil"/>
            </w:tcBorders>
            <w:shd w:val="clear" w:color="000000" w:fill="FFFFFF"/>
            <w:noWrap/>
            <w:vAlign w:val="bottom"/>
            <w:hideMark/>
          </w:tcPr>
          <w:p w14:paraId="32F65742"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r>
      <w:tr w:rsidR="00973F37" w:rsidRPr="00973F37" w14:paraId="6BADF93D" w14:textId="77777777" w:rsidTr="00635B94">
        <w:trPr>
          <w:gridAfter w:val="3"/>
          <w:wAfter w:w="6952" w:type="dxa"/>
          <w:trHeight w:val="280"/>
        </w:trPr>
        <w:tc>
          <w:tcPr>
            <w:tcW w:w="1543" w:type="dxa"/>
            <w:tcBorders>
              <w:top w:val="nil"/>
              <w:left w:val="nil"/>
              <w:bottom w:val="nil"/>
              <w:right w:val="nil"/>
            </w:tcBorders>
            <w:shd w:val="clear" w:color="000000" w:fill="FFFFFF"/>
            <w:noWrap/>
            <w:vAlign w:val="bottom"/>
            <w:hideMark/>
          </w:tcPr>
          <w:p w14:paraId="602EFA10"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c>
          <w:tcPr>
            <w:tcW w:w="1434" w:type="dxa"/>
            <w:tcBorders>
              <w:top w:val="single" w:sz="4" w:space="0" w:color="auto"/>
              <w:left w:val="single" w:sz="4" w:space="0" w:color="auto"/>
              <w:bottom w:val="single" w:sz="4" w:space="0" w:color="auto"/>
              <w:right w:val="single" w:sz="4" w:space="0" w:color="auto"/>
            </w:tcBorders>
            <w:shd w:val="clear" w:color="000000" w:fill="02A78C"/>
            <w:noWrap/>
            <w:vAlign w:val="center"/>
            <w:hideMark/>
          </w:tcPr>
          <w:p w14:paraId="053C10AE" w14:textId="77777777" w:rsidR="00973F37" w:rsidRPr="00973F37" w:rsidRDefault="00973F37" w:rsidP="00973F37">
            <w:pPr>
              <w:jc w:val="center"/>
              <w:rPr>
                <w:rFonts w:ascii="Arial Narrow" w:hAnsi="Arial Narrow" w:cs="Calibri"/>
                <w:b/>
                <w:bCs/>
                <w:color w:val="000000"/>
                <w:sz w:val="18"/>
                <w:szCs w:val="18"/>
              </w:rPr>
            </w:pPr>
            <w:r w:rsidRPr="00973F37">
              <w:rPr>
                <w:rFonts w:ascii="Arial Narrow" w:hAnsi="Arial Narrow" w:cs="Calibri"/>
                <w:b/>
                <w:bCs/>
                <w:color w:val="000000"/>
                <w:sz w:val="18"/>
                <w:szCs w:val="18"/>
              </w:rPr>
              <w:t>2022</w:t>
            </w:r>
          </w:p>
        </w:tc>
        <w:tc>
          <w:tcPr>
            <w:tcW w:w="2276" w:type="dxa"/>
            <w:tcBorders>
              <w:top w:val="single" w:sz="4" w:space="0" w:color="auto"/>
              <w:left w:val="nil"/>
              <w:bottom w:val="single" w:sz="4" w:space="0" w:color="auto"/>
              <w:right w:val="single" w:sz="4" w:space="0" w:color="auto"/>
            </w:tcBorders>
            <w:shd w:val="clear" w:color="000000" w:fill="02A78C"/>
            <w:noWrap/>
            <w:vAlign w:val="center"/>
            <w:hideMark/>
          </w:tcPr>
          <w:p w14:paraId="6C58A705" w14:textId="77777777" w:rsidR="00973F37" w:rsidRPr="00973F37" w:rsidRDefault="00973F37" w:rsidP="00973F37">
            <w:pPr>
              <w:jc w:val="center"/>
              <w:rPr>
                <w:rFonts w:ascii="Arial Narrow" w:hAnsi="Arial Narrow" w:cs="Calibri"/>
                <w:b/>
                <w:bCs/>
                <w:color w:val="000000"/>
                <w:sz w:val="18"/>
                <w:szCs w:val="18"/>
              </w:rPr>
            </w:pPr>
            <w:r w:rsidRPr="00973F37">
              <w:rPr>
                <w:rFonts w:ascii="Arial Narrow" w:hAnsi="Arial Narrow" w:cs="Calibri"/>
                <w:b/>
                <w:bCs/>
                <w:color w:val="000000"/>
                <w:sz w:val="18"/>
                <w:szCs w:val="18"/>
              </w:rPr>
              <w:t>2023</w:t>
            </w:r>
          </w:p>
        </w:tc>
        <w:tc>
          <w:tcPr>
            <w:tcW w:w="2400" w:type="dxa"/>
            <w:tcBorders>
              <w:top w:val="single" w:sz="4" w:space="0" w:color="auto"/>
              <w:left w:val="nil"/>
              <w:bottom w:val="single" w:sz="4" w:space="0" w:color="auto"/>
              <w:right w:val="single" w:sz="4" w:space="0" w:color="auto"/>
            </w:tcBorders>
            <w:shd w:val="clear" w:color="000000" w:fill="02A78C"/>
            <w:noWrap/>
            <w:vAlign w:val="center"/>
            <w:hideMark/>
          </w:tcPr>
          <w:p w14:paraId="200C536B" w14:textId="77777777" w:rsidR="00973F37" w:rsidRPr="00973F37" w:rsidRDefault="00973F37" w:rsidP="00973F37">
            <w:pPr>
              <w:jc w:val="center"/>
              <w:rPr>
                <w:rFonts w:ascii="Arial Narrow" w:hAnsi="Arial Narrow" w:cs="Calibri"/>
                <w:b/>
                <w:bCs/>
                <w:color w:val="000000"/>
                <w:sz w:val="18"/>
                <w:szCs w:val="18"/>
              </w:rPr>
            </w:pPr>
            <w:r w:rsidRPr="00973F37">
              <w:rPr>
                <w:rFonts w:ascii="Arial Narrow" w:hAnsi="Arial Narrow" w:cs="Calibri"/>
                <w:b/>
                <w:bCs/>
                <w:color w:val="000000"/>
                <w:sz w:val="18"/>
                <w:szCs w:val="18"/>
              </w:rPr>
              <w:t>2024</w:t>
            </w:r>
          </w:p>
        </w:tc>
        <w:tc>
          <w:tcPr>
            <w:tcW w:w="2276" w:type="dxa"/>
            <w:gridSpan w:val="2"/>
            <w:tcBorders>
              <w:top w:val="single" w:sz="4" w:space="0" w:color="auto"/>
              <w:left w:val="nil"/>
              <w:bottom w:val="single" w:sz="4" w:space="0" w:color="auto"/>
              <w:right w:val="single" w:sz="4" w:space="0" w:color="auto"/>
            </w:tcBorders>
            <w:shd w:val="clear" w:color="000000" w:fill="02A78C"/>
            <w:noWrap/>
            <w:vAlign w:val="center"/>
            <w:hideMark/>
          </w:tcPr>
          <w:p w14:paraId="13E8F93B" w14:textId="77777777" w:rsidR="00973F37" w:rsidRPr="00973F37" w:rsidRDefault="00973F37" w:rsidP="00973F37">
            <w:pPr>
              <w:jc w:val="center"/>
              <w:rPr>
                <w:rFonts w:ascii="Arial Narrow" w:hAnsi="Arial Narrow" w:cs="Calibri"/>
                <w:b/>
                <w:bCs/>
                <w:color w:val="000000"/>
                <w:sz w:val="18"/>
                <w:szCs w:val="18"/>
              </w:rPr>
            </w:pPr>
            <w:r w:rsidRPr="00973F37">
              <w:rPr>
                <w:rFonts w:ascii="Arial Narrow" w:hAnsi="Arial Narrow" w:cs="Calibri"/>
                <w:b/>
                <w:bCs/>
                <w:color w:val="000000"/>
                <w:sz w:val="18"/>
                <w:szCs w:val="18"/>
              </w:rPr>
              <w:t>2025</w:t>
            </w:r>
          </w:p>
        </w:tc>
      </w:tr>
      <w:tr w:rsidR="00973F37" w:rsidRPr="00973F37" w14:paraId="56A7F702" w14:textId="77777777" w:rsidTr="00635B94">
        <w:trPr>
          <w:gridAfter w:val="3"/>
          <w:wAfter w:w="6952" w:type="dxa"/>
          <w:trHeight w:val="350"/>
        </w:trPr>
        <w:tc>
          <w:tcPr>
            <w:tcW w:w="1543" w:type="dxa"/>
            <w:tcBorders>
              <w:top w:val="single" w:sz="4" w:space="0" w:color="auto"/>
              <w:left w:val="single" w:sz="4" w:space="0" w:color="auto"/>
              <w:bottom w:val="single" w:sz="4" w:space="0" w:color="auto"/>
              <w:right w:val="single" w:sz="4" w:space="0" w:color="auto"/>
            </w:tcBorders>
            <w:shd w:val="clear" w:color="000000" w:fill="02A78C"/>
            <w:noWrap/>
            <w:vAlign w:val="bottom"/>
            <w:hideMark/>
          </w:tcPr>
          <w:p w14:paraId="7CBDAF9E"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rpi</w:t>
            </w:r>
            <w:r w:rsidRPr="00973F37">
              <w:rPr>
                <w:rFonts w:ascii="Arial Narrow" w:hAnsi="Arial Narrow" w:cs="Calibri"/>
                <w:color w:val="000000"/>
                <w:sz w:val="18"/>
                <w:szCs w:val="18"/>
                <w:vertAlign w:val="subscript"/>
              </w:rPr>
              <w:t>a</w:t>
            </w:r>
          </w:p>
        </w:tc>
        <w:tc>
          <w:tcPr>
            <w:tcW w:w="1434" w:type="dxa"/>
            <w:tcBorders>
              <w:top w:val="nil"/>
              <w:left w:val="nil"/>
              <w:bottom w:val="single" w:sz="4" w:space="0" w:color="auto"/>
              <w:right w:val="single" w:sz="4" w:space="0" w:color="auto"/>
            </w:tcBorders>
            <w:shd w:val="clear" w:color="000000" w:fill="F2F2F2"/>
            <w:noWrap/>
            <w:vAlign w:val="bottom"/>
            <w:hideMark/>
          </w:tcPr>
          <w:p w14:paraId="140740FA"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1,70%</w:t>
            </w:r>
          </w:p>
        </w:tc>
        <w:tc>
          <w:tcPr>
            <w:tcW w:w="2276" w:type="dxa"/>
            <w:tcBorders>
              <w:top w:val="nil"/>
              <w:left w:val="nil"/>
              <w:bottom w:val="single" w:sz="4" w:space="0" w:color="auto"/>
              <w:right w:val="single" w:sz="4" w:space="0" w:color="auto"/>
            </w:tcBorders>
            <w:shd w:val="clear" w:color="000000" w:fill="F2F2F2"/>
            <w:noWrap/>
            <w:vAlign w:val="bottom"/>
            <w:hideMark/>
          </w:tcPr>
          <w:p w14:paraId="755484F8"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1,70%</w:t>
            </w:r>
          </w:p>
        </w:tc>
        <w:tc>
          <w:tcPr>
            <w:tcW w:w="2400" w:type="dxa"/>
            <w:tcBorders>
              <w:top w:val="nil"/>
              <w:left w:val="nil"/>
              <w:bottom w:val="single" w:sz="4" w:space="0" w:color="auto"/>
              <w:right w:val="single" w:sz="4" w:space="0" w:color="auto"/>
            </w:tcBorders>
            <w:shd w:val="clear" w:color="000000" w:fill="F2F2F2"/>
            <w:noWrap/>
            <w:vAlign w:val="bottom"/>
            <w:hideMark/>
          </w:tcPr>
          <w:p w14:paraId="467E093E"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1,70%</w:t>
            </w:r>
          </w:p>
        </w:tc>
        <w:tc>
          <w:tcPr>
            <w:tcW w:w="2276" w:type="dxa"/>
            <w:gridSpan w:val="2"/>
            <w:tcBorders>
              <w:top w:val="nil"/>
              <w:left w:val="nil"/>
              <w:bottom w:val="single" w:sz="4" w:space="0" w:color="auto"/>
              <w:right w:val="single" w:sz="4" w:space="0" w:color="auto"/>
            </w:tcBorders>
            <w:shd w:val="clear" w:color="000000" w:fill="F2F2F2"/>
            <w:noWrap/>
            <w:vAlign w:val="bottom"/>
            <w:hideMark/>
          </w:tcPr>
          <w:p w14:paraId="6C355FC5"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1,70%</w:t>
            </w:r>
          </w:p>
        </w:tc>
      </w:tr>
      <w:tr w:rsidR="00973F37" w:rsidRPr="00973F37" w14:paraId="38941A40" w14:textId="77777777" w:rsidTr="00635B94">
        <w:trPr>
          <w:gridAfter w:val="3"/>
          <w:wAfter w:w="6952" w:type="dxa"/>
          <w:trHeight w:val="350"/>
        </w:trPr>
        <w:tc>
          <w:tcPr>
            <w:tcW w:w="1543" w:type="dxa"/>
            <w:tcBorders>
              <w:top w:val="nil"/>
              <w:left w:val="single" w:sz="4" w:space="0" w:color="auto"/>
              <w:bottom w:val="single" w:sz="4" w:space="0" w:color="auto"/>
              <w:right w:val="single" w:sz="4" w:space="0" w:color="auto"/>
            </w:tcBorders>
            <w:shd w:val="clear" w:color="000000" w:fill="02A78C"/>
            <w:noWrap/>
            <w:vAlign w:val="bottom"/>
            <w:hideMark/>
          </w:tcPr>
          <w:p w14:paraId="3B0D9834"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X</w:t>
            </w:r>
            <w:r w:rsidRPr="00973F37">
              <w:rPr>
                <w:rFonts w:ascii="Arial Narrow" w:hAnsi="Arial Narrow" w:cs="Calibri"/>
                <w:color w:val="000000"/>
                <w:sz w:val="18"/>
                <w:szCs w:val="18"/>
                <w:vertAlign w:val="subscript"/>
              </w:rPr>
              <w:t>a</w:t>
            </w:r>
          </w:p>
        </w:tc>
        <w:tc>
          <w:tcPr>
            <w:tcW w:w="1434" w:type="dxa"/>
            <w:tcBorders>
              <w:top w:val="nil"/>
              <w:left w:val="nil"/>
              <w:bottom w:val="single" w:sz="4" w:space="0" w:color="auto"/>
              <w:right w:val="single" w:sz="4" w:space="0" w:color="auto"/>
            </w:tcBorders>
            <w:shd w:val="clear" w:color="000000" w:fill="F2F2F2"/>
            <w:noWrap/>
            <w:vAlign w:val="bottom"/>
            <w:hideMark/>
          </w:tcPr>
          <w:p w14:paraId="1394E32D"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0,10%</w:t>
            </w:r>
          </w:p>
        </w:tc>
        <w:tc>
          <w:tcPr>
            <w:tcW w:w="2276" w:type="dxa"/>
            <w:tcBorders>
              <w:top w:val="nil"/>
              <w:left w:val="nil"/>
              <w:bottom w:val="single" w:sz="4" w:space="0" w:color="auto"/>
              <w:right w:val="single" w:sz="4" w:space="0" w:color="auto"/>
            </w:tcBorders>
            <w:shd w:val="clear" w:color="000000" w:fill="F2F2F2"/>
            <w:noWrap/>
            <w:vAlign w:val="bottom"/>
            <w:hideMark/>
          </w:tcPr>
          <w:p w14:paraId="51DBF87C"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0,10%</w:t>
            </w:r>
          </w:p>
        </w:tc>
        <w:tc>
          <w:tcPr>
            <w:tcW w:w="2400" w:type="dxa"/>
            <w:tcBorders>
              <w:top w:val="nil"/>
              <w:left w:val="nil"/>
              <w:bottom w:val="single" w:sz="4" w:space="0" w:color="auto"/>
              <w:right w:val="single" w:sz="4" w:space="0" w:color="auto"/>
            </w:tcBorders>
            <w:shd w:val="clear" w:color="000000" w:fill="F2F2F2"/>
            <w:noWrap/>
            <w:vAlign w:val="bottom"/>
            <w:hideMark/>
          </w:tcPr>
          <w:p w14:paraId="7ED87D4B"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0,10%</w:t>
            </w:r>
          </w:p>
        </w:tc>
        <w:tc>
          <w:tcPr>
            <w:tcW w:w="2276" w:type="dxa"/>
            <w:gridSpan w:val="2"/>
            <w:tcBorders>
              <w:top w:val="nil"/>
              <w:left w:val="nil"/>
              <w:bottom w:val="single" w:sz="4" w:space="0" w:color="auto"/>
              <w:right w:val="single" w:sz="4" w:space="0" w:color="auto"/>
            </w:tcBorders>
            <w:shd w:val="clear" w:color="000000" w:fill="F2F2F2"/>
            <w:noWrap/>
            <w:vAlign w:val="bottom"/>
            <w:hideMark/>
          </w:tcPr>
          <w:p w14:paraId="524B94B1"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0,10%</w:t>
            </w:r>
          </w:p>
        </w:tc>
      </w:tr>
      <w:tr w:rsidR="00973F37" w:rsidRPr="00973F37" w14:paraId="45726045" w14:textId="77777777" w:rsidTr="00635B94">
        <w:trPr>
          <w:gridAfter w:val="3"/>
          <w:wAfter w:w="6952" w:type="dxa"/>
          <w:trHeight w:val="350"/>
        </w:trPr>
        <w:tc>
          <w:tcPr>
            <w:tcW w:w="1543" w:type="dxa"/>
            <w:tcBorders>
              <w:top w:val="nil"/>
              <w:left w:val="single" w:sz="4" w:space="0" w:color="auto"/>
              <w:bottom w:val="single" w:sz="4" w:space="0" w:color="auto"/>
              <w:right w:val="single" w:sz="4" w:space="0" w:color="auto"/>
            </w:tcBorders>
            <w:shd w:val="clear" w:color="000000" w:fill="02A78C"/>
            <w:noWrap/>
            <w:vAlign w:val="bottom"/>
            <w:hideMark/>
          </w:tcPr>
          <w:p w14:paraId="6F60E792"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QL</w:t>
            </w:r>
            <w:r w:rsidRPr="00973F37">
              <w:rPr>
                <w:rFonts w:ascii="Arial Narrow" w:hAnsi="Arial Narrow" w:cs="Calibri"/>
                <w:color w:val="000000"/>
                <w:sz w:val="18"/>
                <w:szCs w:val="18"/>
                <w:vertAlign w:val="subscript"/>
              </w:rPr>
              <w:t>a</w:t>
            </w:r>
          </w:p>
        </w:tc>
        <w:tc>
          <w:tcPr>
            <w:tcW w:w="1434" w:type="dxa"/>
            <w:tcBorders>
              <w:top w:val="nil"/>
              <w:left w:val="nil"/>
              <w:bottom w:val="single" w:sz="4" w:space="0" w:color="auto"/>
              <w:right w:val="single" w:sz="4" w:space="0" w:color="auto"/>
            </w:tcBorders>
            <w:shd w:val="clear" w:color="000000" w:fill="F2F2F2"/>
            <w:noWrap/>
            <w:vAlign w:val="bottom"/>
            <w:hideMark/>
          </w:tcPr>
          <w:p w14:paraId="73A0B589"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0,00%</w:t>
            </w:r>
          </w:p>
        </w:tc>
        <w:tc>
          <w:tcPr>
            <w:tcW w:w="2276" w:type="dxa"/>
            <w:tcBorders>
              <w:top w:val="nil"/>
              <w:left w:val="nil"/>
              <w:bottom w:val="single" w:sz="4" w:space="0" w:color="auto"/>
              <w:right w:val="single" w:sz="4" w:space="0" w:color="auto"/>
            </w:tcBorders>
            <w:shd w:val="clear" w:color="000000" w:fill="F2F2F2"/>
            <w:noWrap/>
            <w:vAlign w:val="bottom"/>
            <w:hideMark/>
          </w:tcPr>
          <w:p w14:paraId="77613F61"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0,00%</w:t>
            </w:r>
          </w:p>
        </w:tc>
        <w:tc>
          <w:tcPr>
            <w:tcW w:w="2400" w:type="dxa"/>
            <w:tcBorders>
              <w:top w:val="nil"/>
              <w:left w:val="nil"/>
              <w:bottom w:val="single" w:sz="4" w:space="0" w:color="auto"/>
              <w:right w:val="single" w:sz="4" w:space="0" w:color="auto"/>
            </w:tcBorders>
            <w:shd w:val="clear" w:color="000000" w:fill="F2F2F2"/>
            <w:noWrap/>
            <w:vAlign w:val="bottom"/>
            <w:hideMark/>
          </w:tcPr>
          <w:p w14:paraId="68C95AC1"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0,65%</w:t>
            </w:r>
          </w:p>
        </w:tc>
        <w:tc>
          <w:tcPr>
            <w:tcW w:w="2276" w:type="dxa"/>
            <w:gridSpan w:val="2"/>
            <w:tcBorders>
              <w:top w:val="nil"/>
              <w:left w:val="nil"/>
              <w:bottom w:val="single" w:sz="4" w:space="0" w:color="auto"/>
              <w:right w:val="single" w:sz="4" w:space="0" w:color="auto"/>
            </w:tcBorders>
            <w:shd w:val="clear" w:color="000000" w:fill="F2F2F2"/>
            <w:noWrap/>
            <w:vAlign w:val="bottom"/>
            <w:hideMark/>
          </w:tcPr>
          <w:p w14:paraId="0FAB9B52"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0,00%</w:t>
            </w:r>
          </w:p>
        </w:tc>
      </w:tr>
      <w:tr w:rsidR="00973F37" w:rsidRPr="00973F37" w14:paraId="12C57F8D" w14:textId="77777777" w:rsidTr="00635B94">
        <w:trPr>
          <w:gridAfter w:val="3"/>
          <w:wAfter w:w="6952" w:type="dxa"/>
          <w:trHeight w:val="350"/>
        </w:trPr>
        <w:tc>
          <w:tcPr>
            <w:tcW w:w="1543" w:type="dxa"/>
            <w:tcBorders>
              <w:top w:val="nil"/>
              <w:left w:val="single" w:sz="4" w:space="0" w:color="auto"/>
              <w:bottom w:val="single" w:sz="4" w:space="0" w:color="auto"/>
              <w:right w:val="single" w:sz="4" w:space="0" w:color="auto"/>
            </w:tcBorders>
            <w:shd w:val="clear" w:color="000000" w:fill="02A78C"/>
            <w:noWrap/>
            <w:vAlign w:val="bottom"/>
            <w:hideMark/>
          </w:tcPr>
          <w:p w14:paraId="7D0D1311"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PG</w:t>
            </w:r>
            <w:r w:rsidRPr="00973F37">
              <w:rPr>
                <w:rFonts w:ascii="Arial Narrow" w:hAnsi="Arial Narrow" w:cs="Calibri"/>
                <w:color w:val="000000"/>
                <w:sz w:val="18"/>
                <w:szCs w:val="18"/>
                <w:vertAlign w:val="subscript"/>
              </w:rPr>
              <w:t>a</w:t>
            </w:r>
          </w:p>
        </w:tc>
        <w:tc>
          <w:tcPr>
            <w:tcW w:w="1434" w:type="dxa"/>
            <w:tcBorders>
              <w:top w:val="nil"/>
              <w:left w:val="nil"/>
              <w:bottom w:val="single" w:sz="4" w:space="0" w:color="auto"/>
              <w:right w:val="single" w:sz="4" w:space="0" w:color="auto"/>
            </w:tcBorders>
            <w:shd w:val="clear" w:color="000000" w:fill="F2F2F2"/>
            <w:noWrap/>
            <w:vAlign w:val="bottom"/>
            <w:hideMark/>
          </w:tcPr>
          <w:p w14:paraId="79A17F10"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0,25%</w:t>
            </w:r>
          </w:p>
        </w:tc>
        <w:tc>
          <w:tcPr>
            <w:tcW w:w="2276" w:type="dxa"/>
            <w:tcBorders>
              <w:top w:val="nil"/>
              <w:left w:val="nil"/>
              <w:bottom w:val="single" w:sz="4" w:space="0" w:color="auto"/>
              <w:right w:val="single" w:sz="4" w:space="0" w:color="auto"/>
            </w:tcBorders>
            <w:shd w:val="clear" w:color="000000" w:fill="F2F2F2"/>
            <w:noWrap/>
            <w:vAlign w:val="bottom"/>
            <w:hideMark/>
          </w:tcPr>
          <w:p w14:paraId="43948DCF"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0,00%</w:t>
            </w:r>
          </w:p>
        </w:tc>
        <w:tc>
          <w:tcPr>
            <w:tcW w:w="2400" w:type="dxa"/>
            <w:tcBorders>
              <w:top w:val="nil"/>
              <w:left w:val="nil"/>
              <w:bottom w:val="single" w:sz="4" w:space="0" w:color="auto"/>
              <w:right w:val="single" w:sz="4" w:space="0" w:color="auto"/>
            </w:tcBorders>
            <w:shd w:val="clear" w:color="000000" w:fill="F2F2F2"/>
            <w:noWrap/>
            <w:vAlign w:val="bottom"/>
            <w:hideMark/>
          </w:tcPr>
          <w:p w14:paraId="351127ED"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0,00%</w:t>
            </w:r>
          </w:p>
        </w:tc>
        <w:tc>
          <w:tcPr>
            <w:tcW w:w="2276" w:type="dxa"/>
            <w:gridSpan w:val="2"/>
            <w:tcBorders>
              <w:top w:val="nil"/>
              <w:left w:val="nil"/>
              <w:bottom w:val="single" w:sz="4" w:space="0" w:color="auto"/>
              <w:right w:val="single" w:sz="4" w:space="0" w:color="auto"/>
            </w:tcBorders>
            <w:shd w:val="clear" w:color="000000" w:fill="F2F2F2"/>
            <w:noWrap/>
            <w:vAlign w:val="bottom"/>
            <w:hideMark/>
          </w:tcPr>
          <w:p w14:paraId="6E356DE3"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0,00%</w:t>
            </w:r>
          </w:p>
        </w:tc>
      </w:tr>
      <w:tr w:rsidR="00973F37" w:rsidRPr="00973F37" w14:paraId="34C51680" w14:textId="77777777" w:rsidTr="00635B94">
        <w:trPr>
          <w:gridAfter w:val="3"/>
          <w:wAfter w:w="6952" w:type="dxa"/>
          <w:trHeight w:val="350"/>
        </w:trPr>
        <w:tc>
          <w:tcPr>
            <w:tcW w:w="1543" w:type="dxa"/>
            <w:tcBorders>
              <w:top w:val="nil"/>
              <w:left w:val="single" w:sz="4" w:space="0" w:color="auto"/>
              <w:bottom w:val="single" w:sz="4" w:space="0" w:color="auto"/>
              <w:right w:val="single" w:sz="4" w:space="0" w:color="auto"/>
            </w:tcBorders>
            <w:shd w:val="clear" w:color="000000" w:fill="02A78C"/>
            <w:noWrap/>
            <w:vAlign w:val="bottom"/>
            <w:hideMark/>
          </w:tcPr>
          <w:p w14:paraId="476A2EF6"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C</w:t>
            </w:r>
            <w:r w:rsidRPr="00973F37">
              <w:rPr>
                <w:rFonts w:ascii="Arial Narrow" w:hAnsi="Arial Narrow" w:cs="Calibri"/>
                <w:color w:val="000000"/>
                <w:sz w:val="18"/>
                <w:szCs w:val="18"/>
                <w:vertAlign w:val="subscript"/>
              </w:rPr>
              <w:t>116a</w:t>
            </w:r>
          </w:p>
        </w:tc>
        <w:tc>
          <w:tcPr>
            <w:tcW w:w="1434" w:type="dxa"/>
            <w:tcBorders>
              <w:top w:val="nil"/>
              <w:left w:val="nil"/>
              <w:bottom w:val="single" w:sz="4" w:space="0" w:color="auto"/>
              <w:right w:val="single" w:sz="4" w:space="0" w:color="auto"/>
            </w:tcBorders>
            <w:shd w:val="clear" w:color="000000" w:fill="F2F2F2"/>
            <w:noWrap/>
            <w:vAlign w:val="bottom"/>
            <w:hideMark/>
          </w:tcPr>
          <w:p w14:paraId="4F986051"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0,00%</w:t>
            </w:r>
          </w:p>
        </w:tc>
        <w:tc>
          <w:tcPr>
            <w:tcW w:w="2276" w:type="dxa"/>
            <w:tcBorders>
              <w:top w:val="nil"/>
              <w:left w:val="nil"/>
              <w:bottom w:val="single" w:sz="4" w:space="0" w:color="auto"/>
              <w:right w:val="single" w:sz="4" w:space="0" w:color="auto"/>
            </w:tcBorders>
            <w:shd w:val="clear" w:color="000000" w:fill="F2F2F2"/>
            <w:noWrap/>
            <w:vAlign w:val="bottom"/>
            <w:hideMark/>
          </w:tcPr>
          <w:p w14:paraId="23B3F22C"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0,00%</w:t>
            </w:r>
          </w:p>
        </w:tc>
        <w:tc>
          <w:tcPr>
            <w:tcW w:w="2400" w:type="dxa"/>
            <w:tcBorders>
              <w:top w:val="nil"/>
              <w:left w:val="nil"/>
              <w:bottom w:val="single" w:sz="4" w:space="0" w:color="auto"/>
              <w:right w:val="single" w:sz="4" w:space="0" w:color="auto"/>
            </w:tcBorders>
            <w:shd w:val="clear" w:color="000000" w:fill="F2F2F2"/>
            <w:noWrap/>
            <w:vAlign w:val="bottom"/>
            <w:hideMark/>
          </w:tcPr>
          <w:p w14:paraId="495E474B"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0,00%</w:t>
            </w:r>
          </w:p>
        </w:tc>
        <w:tc>
          <w:tcPr>
            <w:tcW w:w="2276" w:type="dxa"/>
            <w:gridSpan w:val="2"/>
            <w:tcBorders>
              <w:top w:val="nil"/>
              <w:left w:val="nil"/>
              <w:bottom w:val="single" w:sz="4" w:space="0" w:color="auto"/>
              <w:right w:val="single" w:sz="4" w:space="0" w:color="auto"/>
            </w:tcBorders>
            <w:shd w:val="clear" w:color="000000" w:fill="F2F2F2"/>
            <w:noWrap/>
            <w:vAlign w:val="bottom"/>
            <w:hideMark/>
          </w:tcPr>
          <w:p w14:paraId="40E1E2C2"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0,00%</w:t>
            </w:r>
          </w:p>
        </w:tc>
      </w:tr>
      <w:tr w:rsidR="00973F37" w:rsidRPr="00973F37" w14:paraId="71C69870" w14:textId="77777777" w:rsidTr="00635B94">
        <w:trPr>
          <w:gridAfter w:val="3"/>
          <w:wAfter w:w="6952" w:type="dxa"/>
          <w:trHeight w:val="320"/>
        </w:trPr>
        <w:tc>
          <w:tcPr>
            <w:tcW w:w="1543" w:type="dxa"/>
            <w:tcBorders>
              <w:top w:val="nil"/>
              <w:left w:val="single" w:sz="4" w:space="0" w:color="auto"/>
              <w:bottom w:val="single" w:sz="4" w:space="0" w:color="auto"/>
              <w:right w:val="single" w:sz="4" w:space="0" w:color="auto"/>
            </w:tcBorders>
            <w:shd w:val="clear" w:color="000000" w:fill="02A78C"/>
            <w:noWrap/>
            <w:vAlign w:val="bottom"/>
            <w:hideMark/>
          </w:tcPr>
          <w:p w14:paraId="1108A7DC" w14:textId="77777777" w:rsidR="00973F37" w:rsidRPr="00973F37" w:rsidRDefault="00973F37" w:rsidP="00973F37">
            <w:pPr>
              <w:jc w:val="right"/>
              <w:rPr>
                <w:rFonts w:ascii="Arial Narrow" w:hAnsi="Arial Narrow" w:cs="Calibri"/>
                <w:b/>
                <w:bCs/>
                <w:color w:val="000000"/>
                <w:sz w:val="18"/>
                <w:szCs w:val="18"/>
              </w:rPr>
            </w:pPr>
            <w:r w:rsidRPr="00973F37">
              <w:rPr>
                <w:rFonts w:ascii="Arial Narrow" w:hAnsi="Arial Narrow" w:cs="Calibri"/>
                <w:b/>
                <w:bCs/>
                <w:color w:val="000000"/>
                <w:sz w:val="18"/>
                <w:szCs w:val="18"/>
              </w:rPr>
              <w:t>ρ</w:t>
            </w:r>
            <w:r w:rsidRPr="00973F37">
              <w:rPr>
                <w:rFonts w:ascii="Arial Narrow" w:hAnsi="Arial Narrow" w:cs="Calibri"/>
                <w:b/>
                <w:bCs/>
                <w:color w:val="000000"/>
                <w:sz w:val="18"/>
                <w:szCs w:val="18"/>
                <w:vertAlign w:val="subscript"/>
              </w:rPr>
              <w:t>a</w:t>
            </w:r>
          </w:p>
        </w:tc>
        <w:tc>
          <w:tcPr>
            <w:tcW w:w="1434" w:type="dxa"/>
            <w:tcBorders>
              <w:top w:val="nil"/>
              <w:left w:val="nil"/>
              <w:bottom w:val="single" w:sz="4" w:space="0" w:color="auto"/>
              <w:right w:val="single" w:sz="4" w:space="0" w:color="auto"/>
            </w:tcBorders>
            <w:shd w:val="clear" w:color="000000" w:fill="02A78C"/>
            <w:noWrap/>
            <w:vAlign w:val="bottom"/>
            <w:hideMark/>
          </w:tcPr>
          <w:p w14:paraId="141C4EFC"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1,85%</w:t>
            </w:r>
          </w:p>
        </w:tc>
        <w:tc>
          <w:tcPr>
            <w:tcW w:w="2276" w:type="dxa"/>
            <w:tcBorders>
              <w:top w:val="nil"/>
              <w:left w:val="nil"/>
              <w:bottom w:val="single" w:sz="4" w:space="0" w:color="auto"/>
              <w:right w:val="single" w:sz="4" w:space="0" w:color="auto"/>
            </w:tcBorders>
            <w:shd w:val="clear" w:color="000000" w:fill="02A78C"/>
            <w:noWrap/>
            <w:vAlign w:val="bottom"/>
            <w:hideMark/>
          </w:tcPr>
          <w:p w14:paraId="1D0EC588"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1,60%</w:t>
            </w:r>
          </w:p>
        </w:tc>
        <w:tc>
          <w:tcPr>
            <w:tcW w:w="2400" w:type="dxa"/>
            <w:tcBorders>
              <w:top w:val="nil"/>
              <w:left w:val="nil"/>
              <w:bottom w:val="single" w:sz="4" w:space="0" w:color="auto"/>
              <w:right w:val="single" w:sz="4" w:space="0" w:color="auto"/>
            </w:tcBorders>
            <w:shd w:val="clear" w:color="000000" w:fill="02A78C"/>
            <w:noWrap/>
            <w:vAlign w:val="bottom"/>
            <w:hideMark/>
          </w:tcPr>
          <w:p w14:paraId="5ABCBDC8"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2,25%</w:t>
            </w:r>
          </w:p>
        </w:tc>
        <w:tc>
          <w:tcPr>
            <w:tcW w:w="2276" w:type="dxa"/>
            <w:gridSpan w:val="2"/>
            <w:tcBorders>
              <w:top w:val="nil"/>
              <w:left w:val="nil"/>
              <w:bottom w:val="single" w:sz="4" w:space="0" w:color="auto"/>
              <w:right w:val="single" w:sz="4" w:space="0" w:color="auto"/>
            </w:tcBorders>
            <w:shd w:val="clear" w:color="000000" w:fill="02A78C"/>
            <w:noWrap/>
            <w:vAlign w:val="bottom"/>
            <w:hideMark/>
          </w:tcPr>
          <w:p w14:paraId="15C99785" w14:textId="777777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1,60%</w:t>
            </w:r>
          </w:p>
        </w:tc>
      </w:tr>
      <w:tr w:rsidR="00973F37" w:rsidRPr="00973F37" w14:paraId="58DA69F5" w14:textId="77777777" w:rsidTr="00635B94">
        <w:trPr>
          <w:gridAfter w:val="3"/>
          <w:wAfter w:w="6952" w:type="dxa"/>
          <w:trHeight w:val="270"/>
        </w:trPr>
        <w:tc>
          <w:tcPr>
            <w:tcW w:w="1543" w:type="dxa"/>
            <w:tcBorders>
              <w:top w:val="nil"/>
              <w:left w:val="nil"/>
              <w:bottom w:val="nil"/>
              <w:right w:val="nil"/>
            </w:tcBorders>
            <w:shd w:val="clear" w:color="000000" w:fill="FFFFFF"/>
            <w:noWrap/>
            <w:vAlign w:val="bottom"/>
            <w:hideMark/>
          </w:tcPr>
          <w:p w14:paraId="3AC208FE"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c>
          <w:tcPr>
            <w:tcW w:w="1434" w:type="dxa"/>
            <w:tcBorders>
              <w:top w:val="nil"/>
              <w:left w:val="nil"/>
              <w:bottom w:val="nil"/>
              <w:right w:val="nil"/>
            </w:tcBorders>
            <w:shd w:val="clear" w:color="000000" w:fill="FFFFFF"/>
            <w:noWrap/>
            <w:vAlign w:val="bottom"/>
            <w:hideMark/>
          </w:tcPr>
          <w:p w14:paraId="40DFBE55"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c>
          <w:tcPr>
            <w:tcW w:w="2276" w:type="dxa"/>
            <w:tcBorders>
              <w:top w:val="nil"/>
              <w:left w:val="nil"/>
              <w:bottom w:val="nil"/>
              <w:right w:val="nil"/>
            </w:tcBorders>
            <w:shd w:val="clear" w:color="000000" w:fill="FFFFFF"/>
            <w:noWrap/>
            <w:vAlign w:val="bottom"/>
            <w:hideMark/>
          </w:tcPr>
          <w:p w14:paraId="62959659"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c>
          <w:tcPr>
            <w:tcW w:w="2400" w:type="dxa"/>
            <w:tcBorders>
              <w:top w:val="nil"/>
              <w:left w:val="nil"/>
              <w:bottom w:val="nil"/>
              <w:right w:val="nil"/>
            </w:tcBorders>
            <w:shd w:val="clear" w:color="000000" w:fill="FFFFFF"/>
            <w:noWrap/>
            <w:vAlign w:val="bottom"/>
            <w:hideMark/>
          </w:tcPr>
          <w:p w14:paraId="1FB5BB83"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c>
          <w:tcPr>
            <w:tcW w:w="2276" w:type="dxa"/>
            <w:gridSpan w:val="2"/>
            <w:tcBorders>
              <w:top w:val="nil"/>
              <w:left w:val="nil"/>
              <w:bottom w:val="nil"/>
              <w:right w:val="nil"/>
            </w:tcBorders>
            <w:shd w:val="clear" w:color="000000" w:fill="FFFFFF"/>
            <w:noWrap/>
            <w:vAlign w:val="bottom"/>
            <w:hideMark/>
          </w:tcPr>
          <w:p w14:paraId="19E748A4"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r>
      <w:tr w:rsidR="00973F37" w:rsidRPr="00973F37" w14:paraId="60F6ACC8" w14:textId="77777777" w:rsidTr="00635B94">
        <w:trPr>
          <w:gridAfter w:val="3"/>
          <w:wAfter w:w="6952" w:type="dxa"/>
          <w:trHeight w:val="280"/>
        </w:trPr>
        <w:tc>
          <w:tcPr>
            <w:tcW w:w="1543" w:type="dxa"/>
            <w:tcBorders>
              <w:top w:val="nil"/>
              <w:left w:val="nil"/>
              <w:bottom w:val="nil"/>
              <w:right w:val="nil"/>
            </w:tcBorders>
            <w:shd w:val="clear" w:color="000000" w:fill="FFFFFF"/>
            <w:noWrap/>
            <w:vAlign w:val="bottom"/>
            <w:hideMark/>
          </w:tcPr>
          <w:p w14:paraId="3410F44D" w14:textId="77777777" w:rsidR="00973F37" w:rsidRPr="00973F37" w:rsidRDefault="00973F37" w:rsidP="00973F37">
            <w:pPr>
              <w:jc w:val="left"/>
              <w:rPr>
                <w:rFonts w:ascii="Arial Narrow" w:hAnsi="Arial Narrow" w:cs="Calibri"/>
                <w:color w:val="000000"/>
                <w:sz w:val="18"/>
                <w:szCs w:val="18"/>
              </w:rPr>
            </w:pPr>
            <w:r w:rsidRPr="00973F37">
              <w:rPr>
                <w:rFonts w:ascii="Arial Narrow" w:hAnsi="Arial Narrow" w:cs="Calibri"/>
                <w:color w:val="000000"/>
                <w:sz w:val="18"/>
                <w:szCs w:val="18"/>
              </w:rPr>
              <w:t> </w:t>
            </w:r>
          </w:p>
        </w:tc>
        <w:tc>
          <w:tcPr>
            <w:tcW w:w="1434" w:type="dxa"/>
            <w:tcBorders>
              <w:top w:val="single" w:sz="4" w:space="0" w:color="auto"/>
              <w:left w:val="single" w:sz="4" w:space="0" w:color="auto"/>
              <w:bottom w:val="single" w:sz="4" w:space="0" w:color="auto"/>
              <w:right w:val="single" w:sz="4" w:space="0" w:color="auto"/>
            </w:tcBorders>
            <w:shd w:val="clear" w:color="000000" w:fill="02A78C"/>
            <w:noWrap/>
            <w:vAlign w:val="center"/>
            <w:hideMark/>
          </w:tcPr>
          <w:p w14:paraId="09790917" w14:textId="77777777" w:rsidR="00973F37" w:rsidRPr="00973F37" w:rsidRDefault="00973F37" w:rsidP="00973F37">
            <w:pPr>
              <w:jc w:val="center"/>
              <w:rPr>
                <w:rFonts w:ascii="Arial Narrow" w:hAnsi="Arial Narrow" w:cs="Calibri"/>
                <w:b/>
                <w:bCs/>
                <w:color w:val="000000"/>
                <w:sz w:val="18"/>
                <w:szCs w:val="18"/>
              </w:rPr>
            </w:pPr>
            <w:r w:rsidRPr="00973F37">
              <w:rPr>
                <w:rFonts w:ascii="Arial Narrow" w:hAnsi="Arial Narrow" w:cs="Calibri"/>
                <w:b/>
                <w:bCs/>
                <w:color w:val="000000"/>
                <w:sz w:val="18"/>
                <w:szCs w:val="18"/>
              </w:rPr>
              <w:t>2022</w:t>
            </w:r>
          </w:p>
        </w:tc>
        <w:tc>
          <w:tcPr>
            <w:tcW w:w="2276" w:type="dxa"/>
            <w:tcBorders>
              <w:top w:val="single" w:sz="4" w:space="0" w:color="auto"/>
              <w:left w:val="nil"/>
              <w:bottom w:val="single" w:sz="4" w:space="0" w:color="auto"/>
              <w:right w:val="single" w:sz="4" w:space="0" w:color="auto"/>
            </w:tcBorders>
            <w:shd w:val="clear" w:color="000000" w:fill="02A78C"/>
            <w:noWrap/>
            <w:vAlign w:val="center"/>
            <w:hideMark/>
          </w:tcPr>
          <w:p w14:paraId="035E660A" w14:textId="77777777" w:rsidR="00973F37" w:rsidRPr="00973F37" w:rsidRDefault="00973F37" w:rsidP="00973F37">
            <w:pPr>
              <w:jc w:val="center"/>
              <w:rPr>
                <w:rFonts w:ascii="Arial Narrow" w:hAnsi="Arial Narrow" w:cs="Calibri"/>
                <w:b/>
                <w:bCs/>
                <w:color w:val="000000"/>
                <w:sz w:val="18"/>
                <w:szCs w:val="18"/>
              </w:rPr>
            </w:pPr>
            <w:r w:rsidRPr="00973F37">
              <w:rPr>
                <w:rFonts w:ascii="Arial Narrow" w:hAnsi="Arial Narrow" w:cs="Calibri"/>
                <w:b/>
                <w:bCs/>
                <w:color w:val="000000"/>
                <w:sz w:val="18"/>
                <w:szCs w:val="18"/>
              </w:rPr>
              <w:t>2023</w:t>
            </w:r>
          </w:p>
        </w:tc>
        <w:tc>
          <w:tcPr>
            <w:tcW w:w="2400" w:type="dxa"/>
            <w:tcBorders>
              <w:top w:val="single" w:sz="4" w:space="0" w:color="auto"/>
              <w:left w:val="nil"/>
              <w:bottom w:val="single" w:sz="4" w:space="0" w:color="auto"/>
              <w:right w:val="single" w:sz="4" w:space="0" w:color="auto"/>
            </w:tcBorders>
            <w:shd w:val="clear" w:color="000000" w:fill="02A78C"/>
            <w:noWrap/>
            <w:vAlign w:val="center"/>
            <w:hideMark/>
          </w:tcPr>
          <w:p w14:paraId="577D4754" w14:textId="77777777" w:rsidR="00973F37" w:rsidRPr="00973F37" w:rsidRDefault="00973F37" w:rsidP="00973F37">
            <w:pPr>
              <w:jc w:val="center"/>
              <w:rPr>
                <w:rFonts w:ascii="Arial Narrow" w:hAnsi="Arial Narrow" w:cs="Calibri"/>
                <w:b/>
                <w:bCs/>
                <w:color w:val="000000"/>
                <w:sz w:val="18"/>
                <w:szCs w:val="18"/>
              </w:rPr>
            </w:pPr>
            <w:r w:rsidRPr="00973F37">
              <w:rPr>
                <w:rFonts w:ascii="Arial Narrow" w:hAnsi="Arial Narrow" w:cs="Calibri"/>
                <w:b/>
                <w:bCs/>
                <w:color w:val="000000"/>
                <w:sz w:val="18"/>
                <w:szCs w:val="18"/>
              </w:rPr>
              <w:t>2024</w:t>
            </w:r>
          </w:p>
        </w:tc>
        <w:tc>
          <w:tcPr>
            <w:tcW w:w="2276" w:type="dxa"/>
            <w:gridSpan w:val="2"/>
            <w:tcBorders>
              <w:top w:val="single" w:sz="4" w:space="0" w:color="auto"/>
              <w:left w:val="nil"/>
              <w:bottom w:val="single" w:sz="4" w:space="0" w:color="auto"/>
              <w:right w:val="single" w:sz="4" w:space="0" w:color="auto"/>
            </w:tcBorders>
            <w:shd w:val="clear" w:color="000000" w:fill="02A78C"/>
            <w:noWrap/>
            <w:vAlign w:val="center"/>
            <w:hideMark/>
          </w:tcPr>
          <w:p w14:paraId="7C26361B" w14:textId="77777777" w:rsidR="00973F37" w:rsidRPr="00973F37" w:rsidRDefault="00973F37" w:rsidP="00973F37">
            <w:pPr>
              <w:jc w:val="center"/>
              <w:rPr>
                <w:rFonts w:ascii="Arial Narrow" w:hAnsi="Arial Narrow" w:cs="Calibri"/>
                <w:b/>
                <w:bCs/>
                <w:color w:val="000000"/>
                <w:sz w:val="18"/>
                <w:szCs w:val="18"/>
              </w:rPr>
            </w:pPr>
            <w:r w:rsidRPr="00973F37">
              <w:rPr>
                <w:rFonts w:ascii="Arial Narrow" w:hAnsi="Arial Narrow" w:cs="Calibri"/>
                <w:b/>
                <w:bCs/>
                <w:color w:val="000000"/>
                <w:sz w:val="18"/>
                <w:szCs w:val="18"/>
              </w:rPr>
              <w:t>2025</w:t>
            </w:r>
          </w:p>
        </w:tc>
      </w:tr>
      <w:tr w:rsidR="00973F37" w:rsidRPr="00973F37" w14:paraId="4FA8B98B" w14:textId="77777777" w:rsidTr="00635B94">
        <w:trPr>
          <w:gridAfter w:val="3"/>
          <w:wAfter w:w="6952" w:type="dxa"/>
          <w:trHeight w:val="340"/>
        </w:trPr>
        <w:tc>
          <w:tcPr>
            <w:tcW w:w="1543" w:type="dxa"/>
            <w:tcBorders>
              <w:top w:val="single" w:sz="4" w:space="0" w:color="auto"/>
              <w:left w:val="single" w:sz="4" w:space="0" w:color="auto"/>
              <w:bottom w:val="single" w:sz="4" w:space="0" w:color="auto"/>
              <w:right w:val="single" w:sz="4" w:space="0" w:color="auto"/>
            </w:tcBorders>
            <w:shd w:val="clear" w:color="000000" w:fill="02A78C"/>
            <w:noWrap/>
            <w:vAlign w:val="bottom"/>
            <w:hideMark/>
          </w:tcPr>
          <w:p w14:paraId="6A6E8E2E" w14:textId="77777777" w:rsidR="00973F37" w:rsidRPr="00973F37" w:rsidRDefault="00973F37" w:rsidP="00973F37">
            <w:pPr>
              <w:jc w:val="right"/>
              <w:rPr>
                <w:rFonts w:ascii="Arial Narrow" w:hAnsi="Arial Narrow" w:cs="Calibri"/>
                <w:b/>
                <w:bCs/>
                <w:color w:val="000000"/>
                <w:sz w:val="18"/>
                <w:szCs w:val="18"/>
              </w:rPr>
            </w:pPr>
            <w:r w:rsidRPr="00973F37">
              <w:rPr>
                <w:rFonts w:ascii="Arial Narrow" w:hAnsi="Arial Narrow" w:cs="Calibri"/>
                <w:b/>
                <w:bCs/>
                <w:color w:val="000000"/>
                <w:sz w:val="18"/>
                <w:szCs w:val="18"/>
              </w:rPr>
              <w:t>T</w:t>
            </w:r>
            <w:r w:rsidRPr="00973F37">
              <w:rPr>
                <w:rFonts w:ascii="Arial Narrow" w:hAnsi="Arial Narrow" w:cs="Calibri"/>
                <w:b/>
                <w:bCs/>
                <w:color w:val="000000"/>
                <w:sz w:val="18"/>
                <w:szCs w:val="18"/>
                <w:vertAlign w:val="subscript"/>
              </w:rPr>
              <w:t>a</w:t>
            </w:r>
          </w:p>
        </w:tc>
        <w:tc>
          <w:tcPr>
            <w:tcW w:w="1434" w:type="dxa"/>
            <w:tcBorders>
              <w:top w:val="nil"/>
              <w:left w:val="nil"/>
              <w:bottom w:val="single" w:sz="4" w:space="0" w:color="auto"/>
              <w:right w:val="single" w:sz="4" w:space="0" w:color="auto"/>
            </w:tcBorders>
            <w:shd w:val="clear" w:color="000000" w:fill="F2F2F2"/>
            <w:noWrap/>
            <w:vAlign w:val="bottom"/>
            <w:hideMark/>
          </w:tcPr>
          <w:p w14:paraId="2E517D50" w14:textId="35467081"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35.338.846 </w:t>
            </w:r>
          </w:p>
        </w:tc>
        <w:tc>
          <w:tcPr>
            <w:tcW w:w="2276" w:type="dxa"/>
            <w:tcBorders>
              <w:top w:val="nil"/>
              <w:left w:val="nil"/>
              <w:bottom w:val="single" w:sz="4" w:space="0" w:color="auto"/>
              <w:right w:val="single" w:sz="4" w:space="0" w:color="auto"/>
            </w:tcBorders>
            <w:shd w:val="clear" w:color="000000" w:fill="F2F2F2"/>
            <w:noWrap/>
            <w:vAlign w:val="bottom"/>
            <w:hideMark/>
          </w:tcPr>
          <w:p w14:paraId="0741308C" w14:textId="6A56E2F9"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35.872.204 </w:t>
            </w:r>
          </w:p>
        </w:tc>
        <w:tc>
          <w:tcPr>
            <w:tcW w:w="2400" w:type="dxa"/>
            <w:tcBorders>
              <w:top w:val="nil"/>
              <w:left w:val="nil"/>
              <w:bottom w:val="single" w:sz="4" w:space="0" w:color="auto"/>
              <w:right w:val="single" w:sz="4" w:space="0" w:color="auto"/>
            </w:tcBorders>
            <w:shd w:val="clear" w:color="000000" w:fill="F2F2F2"/>
            <w:noWrap/>
            <w:vAlign w:val="bottom"/>
            <w:hideMark/>
          </w:tcPr>
          <w:p w14:paraId="6AF00D19" w14:textId="224E49B1"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36.669.392 </w:t>
            </w:r>
          </w:p>
        </w:tc>
        <w:tc>
          <w:tcPr>
            <w:tcW w:w="2276" w:type="dxa"/>
            <w:gridSpan w:val="2"/>
            <w:tcBorders>
              <w:top w:val="nil"/>
              <w:left w:val="nil"/>
              <w:bottom w:val="single" w:sz="4" w:space="0" w:color="auto"/>
              <w:right w:val="single" w:sz="4" w:space="0" w:color="auto"/>
            </w:tcBorders>
            <w:shd w:val="clear" w:color="000000" w:fill="F2F2F2"/>
            <w:noWrap/>
            <w:vAlign w:val="bottom"/>
            <w:hideMark/>
          </w:tcPr>
          <w:p w14:paraId="163378A9" w14:textId="306DDFF9"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37.250.251 </w:t>
            </w:r>
          </w:p>
        </w:tc>
      </w:tr>
      <w:tr w:rsidR="00973F37" w:rsidRPr="00973F37" w14:paraId="741E3F10" w14:textId="77777777" w:rsidTr="00635B94">
        <w:trPr>
          <w:gridAfter w:val="3"/>
          <w:wAfter w:w="6952" w:type="dxa"/>
          <w:trHeight w:val="340"/>
        </w:trPr>
        <w:tc>
          <w:tcPr>
            <w:tcW w:w="1543" w:type="dxa"/>
            <w:tcBorders>
              <w:top w:val="nil"/>
              <w:left w:val="single" w:sz="4" w:space="0" w:color="auto"/>
              <w:bottom w:val="single" w:sz="4" w:space="0" w:color="auto"/>
              <w:right w:val="single" w:sz="4" w:space="0" w:color="auto"/>
            </w:tcBorders>
            <w:shd w:val="clear" w:color="000000" w:fill="02A78C"/>
            <w:noWrap/>
            <w:vAlign w:val="bottom"/>
            <w:hideMark/>
          </w:tcPr>
          <w:p w14:paraId="1BD02E0B" w14:textId="77777777" w:rsidR="00973F37" w:rsidRPr="00973F37" w:rsidRDefault="00973F37" w:rsidP="00973F37">
            <w:pPr>
              <w:jc w:val="right"/>
              <w:rPr>
                <w:rFonts w:ascii="Arial Narrow" w:hAnsi="Arial Narrow" w:cs="Calibri"/>
                <w:b/>
                <w:bCs/>
                <w:color w:val="000000"/>
                <w:sz w:val="18"/>
                <w:szCs w:val="18"/>
              </w:rPr>
            </w:pPr>
            <w:r w:rsidRPr="00973F37">
              <w:rPr>
                <w:rFonts w:ascii="Arial Narrow" w:hAnsi="Arial Narrow" w:cs="Calibri"/>
                <w:b/>
                <w:bCs/>
                <w:color w:val="000000"/>
                <w:sz w:val="18"/>
                <w:szCs w:val="18"/>
              </w:rPr>
              <w:t>TV</w:t>
            </w:r>
            <w:r w:rsidRPr="00973F37">
              <w:rPr>
                <w:rFonts w:ascii="Arial Narrow" w:hAnsi="Arial Narrow" w:cs="Calibri"/>
                <w:b/>
                <w:bCs/>
                <w:color w:val="000000"/>
                <w:sz w:val="18"/>
                <w:szCs w:val="18"/>
                <w:vertAlign w:val="subscript"/>
              </w:rPr>
              <w:t>a-1</w:t>
            </w:r>
          </w:p>
        </w:tc>
        <w:tc>
          <w:tcPr>
            <w:tcW w:w="1434" w:type="dxa"/>
            <w:tcBorders>
              <w:top w:val="nil"/>
              <w:left w:val="nil"/>
              <w:bottom w:val="single" w:sz="4" w:space="0" w:color="auto"/>
              <w:right w:val="single" w:sz="4" w:space="0" w:color="auto"/>
            </w:tcBorders>
            <w:shd w:val="clear" w:color="000000" w:fill="F2F2F2"/>
            <w:noWrap/>
            <w:vAlign w:val="bottom"/>
            <w:hideMark/>
          </w:tcPr>
          <w:p w14:paraId="1C831625" w14:textId="023610AD"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13.608.045 </w:t>
            </w:r>
          </w:p>
        </w:tc>
        <w:tc>
          <w:tcPr>
            <w:tcW w:w="2276" w:type="dxa"/>
            <w:tcBorders>
              <w:top w:val="nil"/>
              <w:left w:val="nil"/>
              <w:bottom w:val="single" w:sz="4" w:space="0" w:color="auto"/>
              <w:right w:val="single" w:sz="4" w:space="0" w:color="auto"/>
            </w:tcBorders>
            <w:shd w:val="clear" w:color="000000" w:fill="F2F2F2"/>
            <w:noWrap/>
            <w:vAlign w:val="bottom"/>
            <w:hideMark/>
          </w:tcPr>
          <w:p w14:paraId="6BF53B1E" w14:textId="6F2A7FAE"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18.768.500 </w:t>
            </w:r>
          </w:p>
        </w:tc>
        <w:tc>
          <w:tcPr>
            <w:tcW w:w="2400" w:type="dxa"/>
            <w:tcBorders>
              <w:top w:val="nil"/>
              <w:left w:val="nil"/>
              <w:bottom w:val="single" w:sz="4" w:space="0" w:color="auto"/>
              <w:right w:val="single" w:sz="4" w:space="0" w:color="auto"/>
            </w:tcBorders>
            <w:shd w:val="clear" w:color="000000" w:fill="F2F2F2"/>
            <w:noWrap/>
            <w:vAlign w:val="bottom"/>
            <w:hideMark/>
          </w:tcPr>
          <w:p w14:paraId="39E9D826" w14:textId="4C713750"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19.301.857 </w:t>
            </w:r>
          </w:p>
        </w:tc>
        <w:tc>
          <w:tcPr>
            <w:tcW w:w="2276" w:type="dxa"/>
            <w:gridSpan w:val="2"/>
            <w:tcBorders>
              <w:top w:val="nil"/>
              <w:left w:val="nil"/>
              <w:bottom w:val="single" w:sz="4" w:space="0" w:color="auto"/>
              <w:right w:val="single" w:sz="4" w:space="0" w:color="auto"/>
            </w:tcBorders>
            <w:shd w:val="clear" w:color="000000" w:fill="F2F2F2"/>
            <w:noWrap/>
            <w:vAlign w:val="bottom"/>
            <w:hideMark/>
          </w:tcPr>
          <w:p w14:paraId="5B15F328" w14:textId="2E63E7A2"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19.972.693 </w:t>
            </w:r>
          </w:p>
        </w:tc>
      </w:tr>
      <w:tr w:rsidR="00973F37" w:rsidRPr="00973F37" w14:paraId="61E9CE51" w14:textId="77777777" w:rsidTr="00635B94">
        <w:trPr>
          <w:gridAfter w:val="3"/>
          <w:wAfter w:w="6952" w:type="dxa"/>
          <w:trHeight w:val="340"/>
        </w:trPr>
        <w:tc>
          <w:tcPr>
            <w:tcW w:w="1543" w:type="dxa"/>
            <w:tcBorders>
              <w:top w:val="nil"/>
              <w:left w:val="single" w:sz="4" w:space="0" w:color="auto"/>
              <w:bottom w:val="single" w:sz="4" w:space="0" w:color="auto"/>
              <w:right w:val="single" w:sz="4" w:space="0" w:color="auto"/>
            </w:tcBorders>
            <w:shd w:val="clear" w:color="000000" w:fill="02A78C"/>
            <w:noWrap/>
            <w:vAlign w:val="bottom"/>
            <w:hideMark/>
          </w:tcPr>
          <w:p w14:paraId="37DE494A" w14:textId="77777777" w:rsidR="00973F37" w:rsidRPr="00973F37" w:rsidRDefault="00973F37" w:rsidP="00973F37">
            <w:pPr>
              <w:jc w:val="right"/>
              <w:rPr>
                <w:rFonts w:ascii="Arial Narrow" w:hAnsi="Arial Narrow" w:cs="Calibri"/>
                <w:b/>
                <w:bCs/>
                <w:color w:val="000000"/>
                <w:sz w:val="18"/>
                <w:szCs w:val="18"/>
              </w:rPr>
            </w:pPr>
            <w:r w:rsidRPr="00973F37">
              <w:rPr>
                <w:rFonts w:ascii="Arial Narrow" w:hAnsi="Arial Narrow" w:cs="Calibri"/>
                <w:b/>
                <w:bCs/>
                <w:color w:val="000000"/>
                <w:sz w:val="18"/>
                <w:szCs w:val="18"/>
              </w:rPr>
              <w:t>TF</w:t>
            </w:r>
            <w:r w:rsidRPr="00973F37">
              <w:rPr>
                <w:rFonts w:ascii="Arial Narrow" w:hAnsi="Arial Narrow" w:cs="Calibri"/>
                <w:b/>
                <w:bCs/>
                <w:color w:val="000000"/>
                <w:sz w:val="18"/>
                <w:szCs w:val="18"/>
                <w:vertAlign w:val="subscript"/>
              </w:rPr>
              <w:t>a-1</w:t>
            </w:r>
          </w:p>
        </w:tc>
        <w:tc>
          <w:tcPr>
            <w:tcW w:w="1434" w:type="dxa"/>
            <w:tcBorders>
              <w:top w:val="nil"/>
              <w:left w:val="nil"/>
              <w:bottom w:val="single" w:sz="4" w:space="0" w:color="auto"/>
              <w:right w:val="single" w:sz="4" w:space="0" w:color="auto"/>
            </w:tcBorders>
            <w:shd w:val="clear" w:color="000000" w:fill="F2F2F2"/>
            <w:noWrap/>
            <w:vAlign w:val="bottom"/>
            <w:hideMark/>
          </w:tcPr>
          <w:p w14:paraId="65AE7618" w14:textId="49B9F716"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21.271.674 </w:t>
            </w:r>
          </w:p>
        </w:tc>
        <w:tc>
          <w:tcPr>
            <w:tcW w:w="2276" w:type="dxa"/>
            <w:tcBorders>
              <w:top w:val="nil"/>
              <w:left w:val="nil"/>
              <w:bottom w:val="single" w:sz="4" w:space="0" w:color="auto"/>
              <w:right w:val="single" w:sz="4" w:space="0" w:color="auto"/>
            </w:tcBorders>
            <w:shd w:val="clear" w:color="000000" w:fill="F2F2F2"/>
            <w:noWrap/>
            <w:vAlign w:val="bottom"/>
            <w:hideMark/>
          </w:tcPr>
          <w:p w14:paraId="70F56B3B" w14:textId="7E48DA89"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16.570.346 </w:t>
            </w:r>
          </w:p>
        </w:tc>
        <w:tc>
          <w:tcPr>
            <w:tcW w:w="2400" w:type="dxa"/>
            <w:tcBorders>
              <w:top w:val="nil"/>
              <w:left w:val="nil"/>
              <w:bottom w:val="single" w:sz="4" w:space="0" w:color="auto"/>
              <w:right w:val="single" w:sz="4" w:space="0" w:color="auto"/>
            </w:tcBorders>
            <w:shd w:val="clear" w:color="000000" w:fill="F2F2F2"/>
            <w:noWrap/>
            <w:vAlign w:val="bottom"/>
            <w:hideMark/>
          </w:tcPr>
          <w:p w14:paraId="121FA196" w14:textId="4BF4A7EA"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16.570.346 </w:t>
            </w:r>
          </w:p>
        </w:tc>
        <w:tc>
          <w:tcPr>
            <w:tcW w:w="2276" w:type="dxa"/>
            <w:gridSpan w:val="2"/>
            <w:tcBorders>
              <w:top w:val="nil"/>
              <w:left w:val="nil"/>
              <w:bottom w:val="single" w:sz="4" w:space="0" w:color="auto"/>
              <w:right w:val="single" w:sz="4" w:space="0" w:color="auto"/>
            </w:tcBorders>
            <w:shd w:val="clear" w:color="000000" w:fill="F2F2F2"/>
            <w:noWrap/>
            <w:vAlign w:val="bottom"/>
            <w:hideMark/>
          </w:tcPr>
          <w:p w14:paraId="6286A160" w14:textId="03DA9673"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16.696.699 </w:t>
            </w:r>
          </w:p>
        </w:tc>
      </w:tr>
      <w:tr w:rsidR="00973F37" w:rsidRPr="00973F37" w14:paraId="4EC58424" w14:textId="77777777" w:rsidTr="00635B94">
        <w:trPr>
          <w:gridAfter w:val="3"/>
          <w:wAfter w:w="6952" w:type="dxa"/>
          <w:trHeight w:val="340"/>
        </w:trPr>
        <w:tc>
          <w:tcPr>
            <w:tcW w:w="1543" w:type="dxa"/>
            <w:tcBorders>
              <w:top w:val="nil"/>
              <w:left w:val="single" w:sz="4" w:space="0" w:color="auto"/>
              <w:bottom w:val="single" w:sz="4" w:space="0" w:color="auto"/>
              <w:right w:val="single" w:sz="4" w:space="0" w:color="auto"/>
            </w:tcBorders>
            <w:shd w:val="clear" w:color="000000" w:fill="02A78C"/>
            <w:noWrap/>
            <w:vAlign w:val="bottom"/>
            <w:hideMark/>
          </w:tcPr>
          <w:p w14:paraId="5CA0387D" w14:textId="77777777" w:rsidR="00973F37" w:rsidRPr="00973F37" w:rsidRDefault="00973F37" w:rsidP="00973F37">
            <w:pPr>
              <w:jc w:val="right"/>
              <w:rPr>
                <w:rFonts w:ascii="Arial Narrow" w:hAnsi="Arial Narrow" w:cs="Calibri"/>
                <w:b/>
                <w:bCs/>
                <w:color w:val="000000"/>
                <w:sz w:val="18"/>
                <w:szCs w:val="18"/>
              </w:rPr>
            </w:pPr>
            <w:r w:rsidRPr="00973F37">
              <w:rPr>
                <w:rFonts w:ascii="Arial Narrow" w:hAnsi="Arial Narrow" w:cs="Calibri"/>
                <w:b/>
                <w:bCs/>
                <w:color w:val="000000"/>
                <w:sz w:val="18"/>
                <w:szCs w:val="18"/>
              </w:rPr>
              <w:t>T</w:t>
            </w:r>
            <w:r w:rsidRPr="00973F37">
              <w:rPr>
                <w:rFonts w:ascii="Arial Narrow" w:hAnsi="Arial Narrow" w:cs="Calibri"/>
                <w:b/>
                <w:bCs/>
                <w:color w:val="000000"/>
                <w:sz w:val="18"/>
                <w:szCs w:val="18"/>
                <w:vertAlign w:val="subscript"/>
              </w:rPr>
              <w:t>a-1</w:t>
            </w:r>
          </w:p>
        </w:tc>
        <w:tc>
          <w:tcPr>
            <w:tcW w:w="1434" w:type="dxa"/>
            <w:tcBorders>
              <w:top w:val="nil"/>
              <w:left w:val="nil"/>
              <w:bottom w:val="single" w:sz="4" w:space="0" w:color="auto"/>
              <w:right w:val="single" w:sz="4" w:space="0" w:color="auto"/>
            </w:tcBorders>
            <w:shd w:val="clear" w:color="000000" w:fill="F2F2F2"/>
            <w:noWrap/>
            <w:vAlign w:val="bottom"/>
            <w:hideMark/>
          </w:tcPr>
          <w:p w14:paraId="09A3FBF0" w14:textId="73CA7677"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34.879.719 </w:t>
            </w:r>
          </w:p>
        </w:tc>
        <w:tc>
          <w:tcPr>
            <w:tcW w:w="2276" w:type="dxa"/>
            <w:tcBorders>
              <w:top w:val="nil"/>
              <w:left w:val="nil"/>
              <w:bottom w:val="single" w:sz="4" w:space="0" w:color="auto"/>
              <w:right w:val="single" w:sz="4" w:space="0" w:color="auto"/>
            </w:tcBorders>
            <w:shd w:val="clear" w:color="000000" w:fill="F2F2F2"/>
            <w:noWrap/>
            <w:vAlign w:val="bottom"/>
            <w:hideMark/>
          </w:tcPr>
          <w:p w14:paraId="7304E892" w14:textId="392FB861"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35.338.846 </w:t>
            </w:r>
          </w:p>
        </w:tc>
        <w:tc>
          <w:tcPr>
            <w:tcW w:w="2400" w:type="dxa"/>
            <w:tcBorders>
              <w:top w:val="nil"/>
              <w:left w:val="nil"/>
              <w:bottom w:val="single" w:sz="4" w:space="0" w:color="auto"/>
              <w:right w:val="single" w:sz="4" w:space="0" w:color="auto"/>
            </w:tcBorders>
            <w:shd w:val="clear" w:color="000000" w:fill="F2F2F2"/>
            <w:noWrap/>
            <w:vAlign w:val="bottom"/>
            <w:hideMark/>
          </w:tcPr>
          <w:p w14:paraId="1E5B26B2" w14:textId="76C13288"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35.872.204 </w:t>
            </w:r>
          </w:p>
        </w:tc>
        <w:tc>
          <w:tcPr>
            <w:tcW w:w="2276" w:type="dxa"/>
            <w:gridSpan w:val="2"/>
            <w:tcBorders>
              <w:top w:val="nil"/>
              <w:left w:val="nil"/>
              <w:bottom w:val="single" w:sz="4" w:space="0" w:color="auto"/>
              <w:right w:val="single" w:sz="4" w:space="0" w:color="auto"/>
            </w:tcBorders>
            <w:shd w:val="clear" w:color="000000" w:fill="F2F2F2"/>
            <w:noWrap/>
            <w:vAlign w:val="bottom"/>
            <w:hideMark/>
          </w:tcPr>
          <w:p w14:paraId="29E845AB" w14:textId="6CBC8EAE"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36.669.392 </w:t>
            </w:r>
          </w:p>
        </w:tc>
      </w:tr>
      <w:tr w:rsidR="00973F37" w:rsidRPr="00973F37" w14:paraId="7876E573" w14:textId="77777777" w:rsidTr="00635B94">
        <w:trPr>
          <w:gridAfter w:val="3"/>
          <w:wAfter w:w="6952" w:type="dxa"/>
          <w:trHeight w:val="340"/>
        </w:trPr>
        <w:tc>
          <w:tcPr>
            <w:tcW w:w="1543" w:type="dxa"/>
            <w:tcBorders>
              <w:top w:val="nil"/>
              <w:left w:val="single" w:sz="4" w:space="0" w:color="auto"/>
              <w:bottom w:val="nil"/>
              <w:right w:val="single" w:sz="4" w:space="0" w:color="auto"/>
            </w:tcBorders>
            <w:shd w:val="clear" w:color="000000" w:fill="02A78C"/>
            <w:noWrap/>
            <w:vAlign w:val="bottom"/>
            <w:hideMark/>
          </w:tcPr>
          <w:p w14:paraId="4F08A1F9" w14:textId="77777777" w:rsidR="00973F37" w:rsidRPr="00973F37" w:rsidRDefault="00973F37" w:rsidP="00973F37">
            <w:pPr>
              <w:jc w:val="right"/>
              <w:rPr>
                <w:rFonts w:ascii="Arial Narrow" w:hAnsi="Arial Narrow" w:cs="Calibri"/>
                <w:b/>
                <w:bCs/>
                <w:color w:val="000000"/>
                <w:sz w:val="18"/>
                <w:szCs w:val="18"/>
              </w:rPr>
            </w:pPr>
            <w:r w:rsidRPr="00973F37">
              <w:rPr>
                <w:rFonts w:ascii="Arial Narrow" w:hAnsi="Arial Narrow" w:cs="Calibri"/>
                <w:b/>
                <w:bCs/>
                <w:color w:val="000000"/>
                <w:sz w:val="18"/>
                <w:szCs w:val="18"/>
              </w:rPr>
              <w:t>T</w:t>
            </w:r>
            <w:r w:rsidRPr="00973F37">
              <w:rPr>
                <w:rFonts w:ascii="Arial Narrow" w:hAnsi="Arial Narrow" w:cs="Calibri"/>
                <w:b/>
                <w:bCs/>
                <w:color w:val="000000"/>
                <w:sz w:val="18"/>
                <w:szCs w:val="18"/>
                <w:vertAlign w:val="subscript"/>
              </w:rPr>
              <w:t>a</w:t>
            </w:r>
            <w:r w:rsidRPr="00973F37">
              <w:rPr>
                <w:rFonts w:ascii="Arial Narrow" w:hAnsi="Arial Narrow" w:cs="Calibri"/>
                <w:b/>
                <w:bCs/>
                <w:color w:val="000000"/>
                <w:sz w:val="18"/>
                <w:szCs w:val="18"/>
              </w:rPr>
              <w:t xml:space="preserve"> /T</w:t>
            </w:r>
            <w:r w:rsidRPr="00973F37">
              <w:rPr>
                <w:rFonts w:ascii="Arial Narrow" w:hAnsi="Arial Narrow" w:cs="Calibri"/>
                <w:b/>
                <w:bCs/>
                <w:color w:val="000000"/>
                <w:sz w:val="18"/>
                <w:szCs w:val="18"/>
                <w:vertAlign w:val="subscript"/>
              </w:rPr>
              <w:t>a-1</w:t>
            </w:r>
          </w:p>
        </w:tc>
        <w:tc>
          <w:tcPr>
            <w:tcW w:w="1434" w:type="dxa"/>
            <w:tcBorders>
              <w:top w:val="nil"/>
              <w:left w:val="nil"/>
              <w:bottom w:val="nil"/>
              <w:right w:val="single" w:sz="4" w:space="0" w:color="auto"/>
            </w:tcBorders>
            <w:shd w:val="clear" w:color="000000" w:fill="02A78C"/>
            <w:noWrap/>
            <w:vAlign w:val="bottom"/>
            <w:hideMark/>
          </w:tcPr>
          <w:p w14:paraId="193A9FF5" w14:textId="18BA8C0B"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         1,013 </w:t>
            </w:r>
          </w:p>
        </w:tc>
        <w:tc>
          <w:tcPr>
            <w:tcW w:w="2276" w:type="dxa"/>
            <w:tcBorders>
              <w:top w:val="nil"/>
              <w:left w:val="nil"/>
              <w:bottom w:val="nil"/>
              <w:right w:val="single" w:sz="4" w:space="0" w:color="auto"/>
            </w:tcBorders>
            <w:shd w:val="clear" w:color="000000" w:fill="02A78C"/>
            <w:noWrap/>
            <w:vAlign w:val="bottom"/>
            <w:hideMark/>
          </w:tcPr>
          <w:p w14:paraId="79172CF4" w14:textId="479B4BF3"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         1,015 </w:t>
            </w:r>
          </w:p>
        </w:tc>
        <w:tc>
          <w:tcPr>
            <w:tcW w:w="2400" w:type="dxa"/>
            <w:tcBorders>
              <w:top w:val="nil"/>
              <w:left w:val="nil"/>
              <w:bottom w:val="nil"/>
              <w:right w:val="single" w:sz="4" w:space="0" w:color="auto"/>
            </w:tcBorders>
            <w:shd w:val="clear" w:color="000000" w:fill="02A78C"/>
            <w:noWrap/>
            <w:vAlign w:val="bottom"/>
            <w:hideMark/>
          </w:tcPr>
          <w:p w14:paraId="09247A44" w14:textId="2BBD8DD5"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         1,022 </w:t>
            </w:r>
          </w:p>
        </w:tc>
        <w:tc>
          <w:tcPr>
            <w:tcW w:w="2276" w:type="dxa"/>
            <w:gridSpan w:val="2"/>
            <w:tcBorders>
              <w:top w:val="nil"/>
              <w:left w:val="nil"/>
              <w:bottom w:val="nil"/>
              <w:right w:val="single" w:sz="4" w:space="0" w:color="auto"/>
            </w:tcBorders>
            <w:shd w:val="clear" w:color="000000" w:fill="02A78C"/>
            <w:noWrap/>
            <w:vAlign w:val="bottom"/>
            <w:hideMark/>
          </w:tcPr>
          <w:p w14:paraId="57732C4A" w14:textId="21F6F514" w:rsidR="00973F37" w:rsidRPr="00973F37" w:rsidRDefault="00973F37" w:rsidP="00973F37">
            <w:pPr>
              <w:jc w:val="right"/>
              <w:rPr>
                <w:rFonts w:ascii="Arial Narrow" w:hAnsi="Arial Narrow" w:cs="Calibri"/>
                <w:color w:val="000000"/>
                <w:sz w:val="18"/>
                <w:szCs w:val="18"/>
              </w:rPr>
            </w:pPr>
            <w:r w:rsidRPr="00973F37">
              <w:rPr>
                <w:rFonts w:ascii="Arial Narrow" w:hAnsi="Arial Narrow" w:cs="Calibri"/>
                <w:color w:val="000000"/>
                <w:sz w:val="18"/>
                <w:szCs w:val="18"/>
              </w:rPr>
              <w:t xml:space="preserve">         1,016 </w:t>
            </w:r>
          </w:p>
        </w:tc>
      </w:tr>
      <w:tr w:rsidR="00973F37" w:rsidRPr="00973F37" w14:paraId="43B46CF2" w14:textId="77777777" w:rsidTr="00635B94">
        <w:trPr>
          <w:gridAfter w:val="3"/>
          <w:wAfter w:w="6952" w:type="dxa"/>
          <w:trHeight w:val="280"/>
        </w:trPr>
        <w:tc>
          <w:tcPr>
            <w:tcW w:w="1543" w:type="dxa"/>
            <w:tcBorders>
              <w:top w:val="single" w:sz="4" w:space="0" w:color="595959"/>
              <w:left w:val="single" w:sz="4" w:space="0" w:color="595959"/>
              <w:bottom w:val="single" w:sz="4" w:space="0" w:color="595959"/>
              <w:right w:val="single" w:sz="4" w:space="0" w:color="595959"/>
            </w:tcBorders>
            <w:shd w:val="clear" w:color="000000" w:fill="FFFFFF"/>
            <w:noWrap/>
            <w:vAlign w:val="bottom"/>
            <w:hideMark/>
          </w:tcPr>
          <w:p w14:paraId="2A51DFCF" w14:textId="77777777" w:rsidR="00973F37" w:rsidRPr="00973F37" w:rsidRDefault="00973F37" w:rsidP="00973F37">
            <w:pPr>
              <w:jc w:val="center"/>
              <w:rPr>
                <w:rFonts w:ascii="Arial Narrow" w:hAnsi="Arial Narrow" w:cs="Calibri"/>
                <w:b/>
                <w:bCs/>
                <w:color w:val="02A78C"/>
                <w:sz w:val="18"/>
                <w:szCs w:val="18"/>
              </w:rPr>
            </w:pPr>
            <w:r w:rsidRPr="00973F37">
              <w:rPr>
                <w:rFonts w:ascii="Arial Narrow" w:hAnsi="Arial Narrow" w:cs="Calibri"/>
                <w:b/>
                <w:bCs/>
                <w:color w:val="02A78C"/>
                <w:sz w:val="18"/>
                <w:szCs w:val="18"/>
              </w:rPr>
              <w:t>SUPERAMENTO DEL LIMITE?</w:t>
            </w:r>
          </w:p>
        </w:tc>
        <w:tc>
          <w:tcPr>
            <w:tcW w:w="1434" w:type="dxa"/>
            <w:tcBorders>
              <w:top w:val="single" w:sz="4" w:space="0" w:color="595959"/>
              <w:left w:val="nil"/>
              <w:bottom w:val="single" w:sz="4" w:space="0" w:color="595959"/>
              <w:right w:val="single" w:sz="4" w:space="0" w:color="595959"/>
            </w:tcBorders>
            <w:shd w:val="clear" w:color="000000" w:fill="FFFFFF"/>
            <w:noWrap/>
            <w:vAlign w:val="bottom"/>
            <w:hideMark/>
          </w:tcPr>
          <w:p w14:paraId="2203DF6B" w14:textId="77777777" w:rsidR="00973F37" w:rsidRPr="00973F37" w:rsidRDefault="00973F37" w:rsidP="00973F37">
            <w:pPr>
              <w:jc w:val="center"/>
              <w:rPr>
                <w:rFonts w:ascii="Arial Narrow" w:hAnsi="Arial Narrow" w:cs="Calibri"/>
                <w:b/>
                <w:bCs/>
                <w:color w:val="02A78C"/>
                <w:sz w:val="18"/>
                <w:szCs w:val="18"/>
              </w:rPr>
            </w:pPr>
            <w:r w:rsidRPr="00973F37">
              <w:rPr>
                <w:rFonts w:ascii="Arial Narrow" w:hAnsi="Arial Narrow" w:cs="Calibri"/>
                <w:b/>
                <w:bCs/>
                <w:color w:val="02A78C"/>
                <w:sz w:val="18"/>
                <w:szCs w:val="18"/>
              </w:rPr>
              <w:t>NO</w:t>
            </w:r>
          </w:p>
        </w:tc>
        <w:tc>
          <w:tcPr>
            <w:tcW w:w="2276" w:type="dxa"/>
            <w:tcBorders>
              <w:top w:val="single" w:sz="4" w:space="0" w:color="595959"/>
              <w:left w:val="nil"/>
              <w:bottom w:val="single" w:sz="4" w:space="0" w:color="595959"/>
              <w:right w:val="single" w:sz="4" w:space="0" w:color="595959"/>
            </w:tcBorders>
            <w:shd w:val="clear" w:color="000000" w:fill="FFFFFF"/>
            <w:noWrap/>
            <w:vAlign w:val="bottom"/>
            <w:hideMark/>
          </w:tcPr>
          <w:p w14:paraId="099ECFD6" w14:textId="77777777" w:rsidR="00973F37" w:rsidRPr="00973F37" w:rsidRDefault="00973F37" w:rsidP="00973F37">
            <w:pPr>
              <w:jc w:val="center"/>
              <w:rPr>
                <w:rFonts w:ascii="Arial Narrow" w:hAnsi="Arial Narrow" w:cs="Calibri"/>
                <w:b/>
                <w:bCs/>
                <w:color w:val="02A78C"/>
                <w:sz w:val="18"/>
                <w:szCs w:val="18"/>
              </w:rPr>
            </w:pPr>
            <w:r w:rsidRPr="00973F37">
              <w:rPr>
                <w:rFonts w:ascii="Arial Narrow" w:hAnsi="Arial Narrow" w:cs="Calibri"/>
                <w:b/>
                <w:bCs/>
                <w:color w:val="02A78C"/>
                <w:sz w:val="18"/>
                <w:szCs w:val="18"/>
              </w:rPr>
              <w:t>NO</w:t>
            </w:r>
          </w:p>
        </w:tc>
        <w:tc>
          <w:tcPr>
            <w:tcW w:w="2400" w:type="dxa"/>
            <w:tcBorders>
              <w:top w:val="single" w:sz="4" w:space="0" w:color="595959"/>
              <w:left w:val="nil"/>
              <w:bottom w:val="single" w:sz="4" w:space="0" w:color="595959"/>
              <w:right w:val="single" w:sz="4" w:space="0" w:color="595959"/>
            </w:tcBorders>
            <w:shd w:val="clear" w:color="000000" w:fill="FFFFFF"/>
            <w:noWrap/>
            <w:vAlign w:val="bottom"/>
            <w:hideMark/>
          </w:tcPr>
          <w:p w14:paraId="2C97EE8E" w14:textId="77777777" w:rsidR="00973F37" w:rsidRPr="00973F37" w:rsidRDefault="00973F37" w:rsidP="00973F37">
            <w:pPr>
              <w:jc w:val="center"/>
              <w:rPr>
                <w:rFonts w:ascii="Arial Narrow" w:hAnsi="Arial Narrow" w:cs="Calibri"/>
                <w:b/>
                <w:bCs/>
                <w:color w:val="02A78C"/>
                <w:sz w:val="18"/>
                <w:szCs w:val="18"/>
              </w:rPr>
            </w:pPr>
            <w:r w:rsidRPr="00973F37">
              <w:rPr>
                <w:rFonts w:ascii="Arial Narrow" w:hAnsi="Arial Narrow" w:cs="Calibri"/>
                <w:b/>
                <w:bCs/>
                <w:color w:val="02A78C"/>
                <w:sz w:val="18"/>
                <w:szCs w:val="18"/>
              </w:rPr>
              <w:t>NO</w:t>
            </w:r>
          </w:p>
        </w:tc>
        <w:tc>
          <w:tcPr>
            <w:tcW w:w="2276" w:type="dxa"/>
            <w:gridSpan w:val="2"/>
            <w:tcBorders>
              <w:top w:val="single" w:sz="4" w:space="0" w:color="595959"/>
              <w:left w:val="nil"/>
              <w:bottom w:val="single" w:sz="4" w:space="0" w:color="595959"/>
              <w:right w:val="single" w:sz="4" w:space="0" w:color="595959"/>
            </w:tcBorders>
            <w:shd w:val="clear" w:color="000000" w:fill="FFFFFF"/>
            <w:noWrap/>
            <w:vAlign w:val="bottom"/>
            <w:hideMark/>
          </w:tcPr>
          <w:p w14:paraId="5BA77EB2" w14:textId="77777777" w:rsidR="00973F37" w:rsidRPr="00973F37" w:rsidRDefault="00973F37" w:rsidP="00973F37">
            <w:pPr>
              <w:jc w:val="center"/>
              <w:rPr>
                <w:rFonts w:ascii="Arial Narrow" w:hAnsi="Arial Narrow" w:cs="Calibri"/>
                <w:b/>
                <w:bCs/>
                <w:color w:val="02A78C"/>
                <w:sz w:val="18"/>
                <w:szCs w:val="18"/>
              </w:rPr>
            </w:pPr>
            <w:r w:rsidRPr="00973F37">
              <w:rPr>
                <w:rFonts w:ascii="Arial Narrow" w:hAnsi="Arial Narrow" w:cs="Calibri"/>
                <w:b/>
                <w:bCs/>
                <w:color w:val="02A78C"/>
                <w:sz w:val="18"/>
                <w:szCs w:val="18"/>
              </w:rPr>
              <w:t>NO</w:t>
            </w:r>
          </w:p>
        </w:tc>
      </w:tr>
    </w:tbl>
    <w:p w14:paraId="141F6884" w14:textId="77777777" w:rsidR="00973F37" w:rsidRPr="00773DFA" w:rsidRDefault="00973F37" w:rsidP="00F15041">
      <w:pPr>
        <w:rPr>
          <w:lang w:eastAsia="en-GB"/>
        </w:rPr>
      </w:pPr>
    </w:p>
    <w:p w14:paraId="1C2B7ACA" w14:textId="77777777" w:rsidR="00F15041" w:rsidRPr="00773DFA" w:rsidRDefault="00232959" w:rsidP="00F15041">
      <w:pPr>
        <w:pStyle w:val="Titolo3"/>
      </w:pPr>
      <w:bookmarkStart w:id="36" w:name="_Toc92569726"/>
      <w:r>
        <w:lastRenderedPageBreak/>
        <w:t>Coefficiente di recupero produttività</w:t>
      </w:r>
      <w:bookmarkEnd w:id="36"/>
    </w:p>
    <w:p w14:paraId="19A61663" w14:textId="77777777" w:rsidR="00045A24" w:rsidRPr="00045A24" w:rsidRDefault="00045A24" w:rsidP="00045A24">
      <w:pPr>
        <w:pStyle w:val="Default"/>
        <w:jc w:val="both"/>
      </w:pPr>
      <w:r w:rsidRPr="00045A24">
        <w:t xml:space="preserve">La determinazione del coefficiente di recupero di produttività </w:t>
      </w:r>
      <w:r w:rsidRPr="00045A24">
        <w:rPr>
          <w:rFonts w:ascii="Cambria Math" w:hAnsi="Cambria Math" w:cs="Cambria Math"/>
        </w:rPr>
        <w:t>𝑋𝑎</w:t>
      </w:r>
      <w:r w:rsidRPr="00045A24">
        <w:t xml:space="preserve"> è effettuata dall’Ente territorialmente competente, sulla base: </w:t>
      </w:r>
    </w:p>
    <w:p w14:paraId="13B595AE" w14:textId="77777777" w:rsidR="00045A24" w:rsidRDefault="00045A24" w:rsidP="00045A24">
      <w:pPr>
        <w:pStyle w:val="Default"/>
        <w:numPr>
          <w:ilvl w:val="0"/>
          <w:numId w:val="33"/>
        </w:numPr>
        <w:jc w:val="both"/>
      </w:pPr>
      <w:r w:rsidRPr="00045A24">
        <w:t xml:space="preserve">del confronto tra il costo unitario effettivo della gestione interessata e il </w:t>
      </w:r>
      <w:r w:rsidRPr="00045A24">
        <w:rPr>
          <w:i/>
          <w:iCs/>
        </w:rPr>
        <w:t xml:space="preserve">Benchmark </w:t>
      </w:r>
      <w:r w:rsidRPr="00045A24">
        <w:t>di riferimento</w:t>
      </w:r>
      <w:r>
        <w:t>;</w:t>
      </w:r>
    </w:p>
    <w:p w14:paraId="383BF327" w14:textId="77777777" w:rsidR="00045A24" w:rsidRPr="00045A24" w:rsidRDefault="00045A24" w:rsidP="00045A24">
      <w:pPr>
        <w:pStyle w:val="Default"/>
        <w:numPr>
          <w:ilvl w:val="0"/>
          <w:numId w:val="33"/>
        </w:numPr>
        <w:jc w:val="both"/>
      </w:pPr>
      <w:r w:rsidRPr="00045A24">
        <w:t>dei risultati raggiunti dalla gestione in termini di raccolta differenziata (</w:t>
      </w:r>
      <w:r w:rsidRPr="00045A24">
        <w:rPr>
          <w:rFonts w:ascii="Cambria Math" w:hAnsi="Cambria Math" w:cs="Cambria Math"/>
        </w:rPr>
        <w:t>𝛾</w:t>
      </w:r>
      <w:r w:rsidRPr="00045A24">
        <w:t>1,</w:t>
      </w:r>
      <w:r w:rsidRPr="00045A24">
        <w:rPr>
          <w:rFonts w:ascii="Cambria Math" w:hAnsi="Cambria Math" w:cs="Cambria Math"/>
        </w:rPr>
        <w:t>𝑎</w:t>
      </w:r>
      <w:r w:rsidRPr="00045A24">
        <w:t>) e di efficacia delle attività di preparazione per il riutilizzo e il riciclo (</w:t>
      </w:r>
      <w:r w:rsidRPr="00045A24">
        <w:rPr>
          <w:rFonts w:ascii="Cambria Math" w:hAnsi="Cambria Math" w:cs="Cambria Math"/>
        </w:rPr>
        <w:t>𝛾</w:t>
      </w:r>
      <w:r w:rsidRPr="00045A24">
        <w:t>2,</w:t>
      </w:r>
      <w:r w:rsidRPr="00045A24">
        <w:rPr>
          <w:rFonts w:ascii="Cambria Math" w:hAnsi="Cambria Math" w:cs="Cambria Math"/>
        </w:rPr>
        <w:t>𝑎</w:t>
      </w:r>
      <w:r w:rsidRPr="00045A24">
        <w:t>) rispetto agli obiettivi comunitari, distinguendo</w:t>
      </w:r>
      <w:r>
        <w:t xml:space="preserve"> </w:t>
      </w:r>
      <w:r w:rsidRPr="00045A24">
        <w:t xml:space="preserve">un livello di qualità ambientale delle prestazioni ritenuto “insoddisfacente o intermedio”, </w:t>
      </w:r>
      <w:r>
        <w:t>oppure</w:t>
      </w:r>
      <w:r w:rsidRPr="00045A24">
        <w:t xml:space="preserve"> un livello di qualità ambientale delle prestazioni ritenuto “avanzato”</w:t>
      </w:r>
      <w:r>
        <w:t>.</w:t>
      </w:r>
    </w:p>
    <w:p w14:paraId="6EEBE8D2" w14:textId="77777777" w:rsidR="00045A24" w:rsidRDefault="00045A24" w:rsidP="00045A24"/>
    <w:p w14:paraId="6B4FAF55" w14:textId="77777777" w:rsidR="00E907C7" w:rsidRPr="00E907C7" w:rsidRDefault="00E907C7" w:rsidP="00045A24">
      <w:pPr>
        <w:rPr>
          <w:b/>
          <w:i/>
        </w:rPr>
      </w:pPr>
      <w:r>
        <w:rPr>
          <w:b/>
          <w:i/>
        </w:rPr>
        <w:t>Confronto con il benchmark di riferimento</w:t>
      </w:r>
    </w:p>
    <w:p w14:paraId="6B063135" w14:textId="77777777" w:rsidR="00045A24" w:rsidRDefault="00045A24" w:rsidP="00045A24">
      <w:r w:rsidRPr="0023257E">
        <w:t xml:space="preserve">Per quanto riguarda il </w:t>
      </w:r>
      <w:r w:rsidRPr="00045A24">
        <w:t xml:space="preserve">confronto tra il costo unitario effettivo della gestione interessata e il </w:t>
      </w:r>
      <w:r w:rsidRPr="00045A24">
        <w:rPr>
          <w:i/>
          <w:iCs/>
        </w:rPr>
        <w:t xml:space="preserve">Benchmark </w:t>
      </w:r>
      <w:r w:rsidRPr="00045A24">
        <w:t>di riferimento</w:t>
      </w:r>
      <w:r>
        <w:t xml:space="preserve">, </w:t>
      </w:r>
      <w:r w:rsidRPr="0023257E">
        <w:t>relativ</w:t>
      </w:r>
      <w:r>
        <w:t>amente</w:t>
      </w:r>
      <w:r w:rsidRPr="0023257E">
        <w:t xml:space="preserve"> all’anno 20</w:t>
      </w:r>
      <w:r>
        <w:t xml:space="preserve">20 si hanno </w:t>
      </w:r>
      <w:r w:rsidRPr="0023257E">
        <w:t>le seguenti risultanze:</w:t>
      </w:r>
    </w:p>
    <w:p w14:paraId="679ABCA8" w14:textId="77777777" w:rsidR="00045A24" w:rsidRDefault="00045A24" w:rsidP="00045A24"/>
    <w:p w14:paraId="3644635B" w14:textId="77777777" w:rsidR="00045A24" w:rsidRPr="0023257E" w:rsidRDefault="00045A24" w:rsidP="00045A24">
      <w:pPr>
        <w:pStyle w:val="Paragrafoelenco"/>
        <w:numPr>
          <w:ilvl w:val="0"/>
          <w:numId w:val="6"/>
        </w:numPr>
        <w:rPr>
          <w:sz w:val="24"/>
          <w:szCs w:val="24"/>
        </w:rPr>
      </w:pPr>
      <w:r w:rsidRPr="0023257E">
        <w:rPr>
          <w:sz w:val="24"/>
          <w:szCs w:val="24"/>
        </w:rPr>
        <w:t>CU</w:t>
      </w:r>
      <w:r w:rsidRPr="0023257E">
        <w:rPr>
          <w:sz w:val="24"/>
          <w:szCs w:val="24"/>
          <w:vertAlign w:val="subscript"/>
        </w:rPr>
        <w:t>eff</w:t>
      </w:r>
      <w:r w:rsidRPr="0023257E">
        <w:t xml:space="preserve"> </w:t>
      </w:r>
      <w:r w:rsidRPr="0023257E">
        <w:rPr>
          <w:sz w:val="24"/>
          <w:szCs w:val="24"/>
        </w:rPr>
        <w:t>20</w:t>
      </w:r>
      <w:r>
        <w:rPr>
          <w:sz w:val="24"/>
          <w:szCs w:val="24"/>
        </w:rPr>
        <w:t>20</w:t>
      </w:r>
      <w:r w:rsidRPr="0023257E">
        <w:rPr>
          <w:sz w:val="24"/>
          <w:szCs w:val="24"/>
        </w:rPr>
        <w:t xml:space="preserve">: </w:t>
      </w:r>
      <w:r w:rsidR="00BF62B2" w:rsidRPr="00BF62B2">
        <w:rPr>
          <w:sz w:val="24"/>
          <w:szCs w:val="24"/>
        </w:rPr>
        <w:t>34.340.730</w:t>
      </w:r>
      <w:r w:rsidRPr="0023257E">
        <w:rPr>
          <w:sz w:val="24"/>
          <w:szCs w:val="24"/>
        </w:rPr>
        <w:t>/</w:t>
      </w:r>
      <w:r w:rsidR="00BF62B2" w:rsidRPr="00BF62B2">
        <w:rPr>
          <w:sz w:val="24"/>
          <w:szCs w:val="24"/>
        </w:rPr>
        <w:t xml:space="preserve">110.691 </w:t>
      </w:r>
      <w:r w:rsidRPr="0023257E">
        <w:rPr>
          <w:sz w:val="24"/>
          <w:szCs w:val="24"/>
        </w:rPr>
        <w:t xml:space="preserve">€/t = </w:t>
      </w:r>
      <w:r w:rsidR="00BF62B2">
        <w:rPr>
          <w:sz w:val="24"/>
          <w:szCs w:val="24"/>
        </w:rPr>
        <w:t>31,02</w:t>
      </w:r>
      <w:r w:rsidRPr="0023257E">
        <w:rPr>
          <w:sz w:val="24"/>
          <w:szCs w:val="24"/>
        </w:rPr>
        <w:t xml:space="preserve"> </w:t>
      </w:r>
      <w:r w:rsidR="00BF62B2">
        <w:rPr>
          <w:sz w:val="24"/>
          <w:szCs w:val="24"/>
        </w:rPr>
        <w:t>cent</w:t>
      </w:r>
      <w:r w:rsidRPr="0023257E">
        <w:rPr>
          <w:sz w:val="24"/>
          <w:szCs w:val="24"/>
        </w:rPr>
        <w:t>€/</w:t>
      </w:r>
      <w:r w:rsidR="00BF62B2">
        <w:rPr>
          <w:sz w:val="24"/>
          <w:szCs w:val="24"/>
        </w:rPr>
        <w:t>kg</w:t>
      </w:r>
      <w:r w:rsidR="003A1FED">
        <w:rPr>
          <w:sz w:val="24"/>
          <w:szCs w:val="24"/>
        </w:rPr>
        <w:t>;</w:t>
      </w:r>
    </w:p>
    <w:p w14:paraId="78A46A3B" w14:textId="77777777" w:rsidR="00045A24" w:rsidRPr="008B77EC" w:rsidRDefault="00045A24" w:rsidP="00045A24">
      <w:pPr>
        <w:pStyle w:val="Paragrafoelenco"/>
        <w:numPr>
          <w:ilvl w:val="0"/>
          <w:numId w:val="6"/>
        </w:numPr>
        <w:rPr>
          <w:sz w:val="24"/>
          <w:szCs w:val="24"/>
        </w:rPr>
      </w:pPr>
      <w:r>
        <w:rPr>
          <w:sz w:val="24"/>
          <w:szCs w:val="24"/>
        </w:rPr>
        <w:t xml:space="preserve">Fabbisogni </w:t>
      </w:r>
      <w:r w:rsidRPr="0023257E">
        <w:rPr>
          <w:sz w:val="24"/>
          <w:szCs w:val="24"/>
        </w:rPr>
        <w:t>standard 2019</w:t>
      </w:r>
      <w:r>
        <w:rPr>
          <w:sz w:val="24"/>
          <w:szCs w:val="24"/>
        </w:rPr>
        <w:t xml:space="preserve"> (ultimo dato disponibile)</w:t>
      </w:r>
      <w:r w:rsidRPr="0023257E">
        <w:rPr>
          <w:sz w:val="24"/>
          <w:szCs w:val="24"/>
        </w:rPr>
        <w:t>: 3</w:t>
      </w:r>
      <w:r w:rsidR="00BC5FF2">
        <w:rPr>
          <w:sz w:val="24"/>
          <w:szCs w:val="24"/>
        </w:rPr>
        <w:t>6,</w:t>
      </w:r>
      <w:r w:rsidRPr="0023257E">
        <w:rPr>
          <w:sz w:val="24"/>
          <w:szCs w:val="24"/>
        </w:rPr>
        <w:t>9</w:t>
      </w:r>
      <w:r w:rsidR="00BC5FF2">
        <w:rPr>
          <w:sz w:val="24"/>
          <w:szCs w:val="24"/>
        </w:rPr>
        <w:t>1</w:t>
      </w:r>
      <w:r w:rsidRPr="0023257E">
        <w:rPr>
          <w:sz w:val="24"/>
          <w:szCs w:val="24"/>
        </w:rPr>
        <w:t xml:space="preserve"> </w:t>
      </w:r>
      <w:r w:rsidR="003A1FED">
        <w:rPr>
          <w:sz w:val="24"/>
          <w:szCs w:val="24"/>
        </w:rPr>
        <w:t>cent</w:t>
      </w:r>
      <w:r w:rsidR="003A1FED" w:rsidRPr="0023257E">
        <w:rPr>
          <w:sz w:val="24"/>
          <w:szCs w:val="24"/>
        </w:rPr>
        <w:t>€/</w:t>
      </w:r>
      <w:r w:rsidR="003A1FED">
        <w:rPr>
          <w:sz w:val="24"/>
          <w:szCs w:val="24"/>
        </w:rPr>
        <w:t>kg.</w:t>
      </w:r>
    </w:p>
    <w:p w14:paraId="568C40E9" w14:textId="77777777" w:rsidR="00045A24" w:rsidRDefault="00045A24" w:rsidP="00045A24">
      <w:r w:rsidRPr="0023257E">
        <w:t>Pertanto il CU</w:t>
      </w:r>
      <w:r w:rsidRPr="0023257E">
        <w:rPr>
          <w:vertAlign w:val="subscript"/>
        </w:rPr>
        <w:t>eff</w:t>
      </w:r>
      <w:r w:rsidRPr="0023257E">
        <w:t xml:space="preserve"> relativo all’anno 20</w:t>
      </w:r>
      <w:r w:rsidR="003A1FED">
        <w:t>20</w:t>
      </w:r>
      <w:r w:rsidRPr="0023257E">
        <w:t xml:space="preserve"> di cui al punto </w:t>
      </w:r>
      <w:r w:rsidR="003A1FED">
        <w:t>5.1</w:t>
      </w:r>
      <w:r w:rsidRPr="0023257E">
        <w:t xml:space="preserve"> del MTR</w:t>
      </w:r>
      <w:r w:rsidR="003A1FED">
        <w:t>-2</w:t>
      </w:r>
      <w:r w:rsidRPr="0023257E">
        <w:t xml:space="preserve"> è inferiore al benchmark di riferimento rappresentato dai Fabbisogni Standard.</w:t>
      </w:r>
    </w:p>
    <w:p w14:paraId="5DA2FEA3" w14:textId="77777777" w:rsidR="00045A24" w:rsidRDefault="00045A24" w:rsidP="00045A24"/>
    <w:p w14:paraId="510FA4CE" w14:textId="77777777" w:rsidR="00045A24" w:rsidRDefault="00E907C7" w:rsidP="00E907C7">
      <w:r>
        <w:t>Per quanto riguarda i</w:t>
      </w:r>
      <w:r w:rsidR="00045A24" w:rsidRPr="0023257E">
        <w:t xml:space="preserve"> parametri γ di qualità del</w:t>
      </w:r>
      <w:r w:rsidR="00045A24" w:rsidRPr="004D5FE6">
        <w:t xml:space="preserve"> servizio reso, denominati γ</w:t>
      </w:r>
      <w:r w:rsidR="00045A24" w:rsidRPr="004D5FE6">
        <w:rPr>
          <w:vertAlign w:val="subscript"/>
        </w:rPr>
        <w:t>1</w:t>
      </w:r>
      <w:r w:rsidR="00045A24" w:rsidRPr="004D5FE6">
        <w:t xml:space="preserve"> e γ</w:t>
      </w:r>
      <w:r w:rsidRPr="00C9752D">
        <w:rPr>
          <w:vertAlign w:val="subscript"/>
        </w:rPr>
        <w:t>2</w:t>
      </w:r>
      <w:r w:rsidR="00045A24" w:rsidRPr="004D5FE6">
        <w:t>, si riferiscono</w:t>
      </w:r>
      <w:r w:rsidR="00045A24">
        <w:t>,</w:t>
      </w:r>
      <w:r w:rsidR="00045A24" w:rsidRPr="004D5FE6">
        <w:t xml:space="preserve"> rispettivamente</w:t>
      </w:r>
      <w:r w:rsidR="00045A24">
        <w:t>,</w:t>
      </w:r>
      <w:r w:rsidR="00045A24" w:rsidRPr="004D5FE6">
        <w:t xml:space="preserve"> alla qualità e alle prestazioni del </w:t>
      </w:r>
      <w:r w:rsidR="00045A24">
        <w:t>G</w:t>
      </w:r>
      <w:r w:rsidR="00045A24" w:rsidRPr="004D5FE6">
        <w:t>estore in tema di “% di differenziata”</w:t>
      </w:r>
      <w:r>
        <w:t xml:space="preserve"> e di</w:t>
      </w:r>
      <w:r w:rsidR="00045A24" w:rsidRPr="004D5FE6">
        <w:t xml:space="preserve"> “performance di riutilizzo/riciclo”</w:t>
      </w:r>
      <w:r>
        <w:t>.</w:t>
      </w:r>
    </w:p>
    <w:p w14:paraId="60325AC3" w14:textId="77777777" w:rsidR="00E907C7" w:rsidRPr="00392003" w:rsidRDefault="00E907C7" w:rsidP="00E907C7"/>
    <w:p w14:paraId="06D0C236" w14:textId="77777777" w:rsidR="00045A24" w:rsidRPr="00A20016" w:rsidRDefault="00045A24" w:rsidP="00045A24">
      <w:pPr>
        <w:rPr>
          <w:b/>
          <w:i/>
        </w:rPr>
      </w:pPr>
      <w:r w:rsidRPr="00A20016">
        <w:rPr>
          <w:b/>
          <w:i/>
        </w:rPr>
        <w:t xml:space="preserve">γ1 - percentuale raccolta differenziata RD </w:t>
      </w:r>
    </w:p>
    <w:p w14:paraId="11B73D27" w14:textId="77777777" w:rsidR="00045A24" w:rsidRPr="00A20016" w:rsidRDefault="00045A24" w:rsidP="00045A24">
      <w:r w:rsidRPr="00A20016">
        <w:t>Il presente indicatore γ</w:t>
      </w:r>
      <w:r w:rsidRPr="00A20016">
        <w:rPr>
          <w:vertAlign w:val="subscript"/>
        </w:rPr>
        <w:t>1</w:t>
      </w:r>
      <w:r w:rsidRPr="00A20016">
        <w:t xml:space="preserve"> valorizza i risultati conseguiti in termini di percentuale di raccolta differenziata.</w:t>
      </w:r>
    </w:p>
    <w:p w14:paraId="3DB1C919" w14:textId="77777777" w:rsidR="00045A24" w:rsidRDefault="00045A24" w:rsidP="00045A24">
      <w:r w:rsidRPr="0023257E">
        <w:t>Il Comune di B</w:t>
      </w:r>
      <w:r w:rsidR="00E907C7">
        <w:t>rescia</w:t>
      </w:r>
      <w:r w:rsidRPr="0023257E">
        <w:t xml:space="preserve">, dai dati pubblicati sul Catasto Rifiuti relativamente all’annualità 2019, con una popolazione residente di </w:t>
      </w:r>
      <w:r w:rsidRPr="0023257E">
        <w:rPr>
          <w:b/>
        </w:rPr>
        <w:t>1</w:t>
      </w:r>
      <w:r w:rsidR="0034659A">
        <w:rPr>
          <w:b/>
        </w:rPr>
        <w:t>9</w:t>
      </w:r>
      <w:r w:rsidR="00030FA4">
        <w:rPr>
          <w:b/>
        </w:rPr>
        <w:t>6.340</w:t>
      </w:r>
      <w:r w:rsidRPr="0023257E">
        <w:t xml:space="preserve"> abitanti e una </w:t>
      </w:r>
      <w:r w:rsidRPr="0023257E">
        <w:rPr>
          <w:b/>
        </w:rPr>
        <w:t>percentuale di raccolta differenziata del 7</w:t>
      </w:r>
      <w:r w:rsidR="0034659A">
        <w:rPr>
          <w:b/>
        </w:rPr>
        <w:t>2</w:t>
      </w:r>
      <w:r w:rsidRPr="0023257E">
        <w:rPr>
          <w:b/>
        </w:rPr>
        <w:t>,</w:t>
      </w:r>
      <w:r w:rsidR="0034659A">
        <w:rPr>
          <w:b/>
        </w:rPr>
        <w:t>2</w:t>
      </w:r>
      <w:r w:rsidRPr="0023257E">
        <w:rPr>
          <w:b/>
        </w:rPr>
        <w:t>%</w:t>
      </w:r>
      <w:r w:rsidRPr="0023257E">
        <w:t>, si posiziona sopra la media nazionale dei comuni appartenenti al medesimo cluster di popolazione residente servita (cfr. tabella seguente</w:t>
      </w:r>
      <w:r w:rsidRPr="0023257E">
        <w:rPr>
          <w:rStyle w:val="Rimandonotaapidipagina"/>
        </w:rPr>
        <w:footnoteReference w:id="1"/>
      </w:r>
      <w:r w:rsidRPr="0023257E">
        <w:t>).</w:t>
      </w:r>
    </w:p>
    <w:p w14:paraId="687CAC4E" w14:textId="77777777" w:rsidR="00C9752D" w:rsidRDefault="00C9752D" w:rsidP="00045A24"/>
    <w:p w14:paraId="11EB1F94" w14:textId="77777777" w:rsidR="00045A24" w:rsidRDefault="00045A24" w:rsidP="00045A24"/>
    <w:tbl>
      <w:tblPr>
        <w:tblStyle w:val="Tabellagriglia2-colore5"/>
        <w:tblW w:w="6460" w:type="dxa"/>
        <w:jc w:val="center"/>
        <w:tblLook w:val="04A0" w:firstRow="1" w:lastRow="0" w:firstColumn="1" w:lastColumn="0" w:noHBand="0" w:noVBand="1"/>
      </w:tblPr>
      <w:tblGrid>
        <w:gridCol w:w="4460"/>
        <w:gridCol w:w="2000"/>
      </w:tblGrid>
      <w:tr w:rsidR="00045A24" w:rsidRPr="00107C8B" w14:paraId="5DBCB737" w14:textId="77777777" w:rsidTr="004251A3">
        <w:trPr>
          <w:cnfStyle w:val="100000000000" w:firstRow="1" w:lastRow="0" w:firstColumn="0" w:lastColumn="0" w:oddVBand="0" w:evenVBand="0" w:oddHBand="0" w:evenHBand="0" w:firstRowFirstColumn="0" w:firstRowLastColumn="0" w:lastRowFirstColumn="0" w:lastRowLastColumn="0"/>
          <w:trHeight w:val="864"/>
          <w:jc w:val="center"/>
        </w:trPr>
        <w:tc>
          <w:tcPr>
            <w:cnfStyle w:val="001000000000" w:firstRow="0" w:lastRow="0" w:firstColumn="1" w:lastColumn="0" w:oddVBand="0" w:evenVBand="0" w:oddHBand="0" w:evenHBand="0" w:firstRowFirstColumn="0" w:firstRowLastColumn="0" w:lastRowFirstColumn="0" w:lastRowLastColumn="0"/>
            <w:tcW w:w="4460" w:type="dxa"/>
            <w:noWrap/>
            <w:vAlign w:val="center"/>
            <w:hideMark/>
          </w:tcPr>
          <w:p w14:paraId="0427322F" w14:textId="77777777" w:rsidR="00045A24" w:rsidRPr="00107C8B" w:rsidRDefault="00045A24" w:rsidP="004251A3">
            <w:pPr>
              <w:jc w:val="center"/>
              <w:rPr>
                <w:rFonts w:ascii="Calibri" w:eastAsia="Times New Roman" w:hAnsi="Calibri" w:cs="Calibri"/>
                <w:color w:val="000000"/>
                <w:lang w:eastAsia="it-IT"/>
              </w:rPr>
            </w:pPr>
            <w:r w:rsidRPr="00107C8B">
              <w:rPr>
                <w:rFonts w:ascii="Calibri" w:eastAsia="Times New Roman" w:hAnsi="Calibri" w:cs="Calibri"/>
                <w:color w:val="000000"/>
                <w:lang w:eastAsia="it-IT"/>
              </w:rPr>
              <w:t>Cluster popolazione residente</w:t>
            </w:r>
          </w:p>
        </w:tc>
        <w:tc>
          <w:tcPr>
            <w:tcW w:w="2000" w:type="dxa"/>
            <w:vAlign w:val="center"/>
            <w:hideMark/>
          </w:tcPr>
          <w:p w14:paraId="6EBCD823" w14:textId="77777777" w:rsidR="00045A24" w:rsidRPr="00107C8B" w:rsidRDefault="00045A24" w:rsidP="004251A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u w:val="single"/>
                <w:lang w:eastAsia="it-IT"/>
              </w:rPr>
            </w:pPr>
            <w:r w:rsidRPr="00107C8B">
              <w:rPr>
                <w:rFonts w:ascii="Calibri" w:eastAsia="Times New Roman" w:hAnsi="Calibri" w:cs="Calibri"/>
                <w:color w:val="000000"/>
                <w:u w:val="single"/>
                <w:lang w:eastAsia="it-IT"/>
              </w:rPr>
              <w:t xml:space="preserve"> RD media 2019 (%)</w:t>
            </w:r>
          </w:p>
        </w:tc>
      </w:tr>
      <w:tr w:rsidR="00045A24" w:rsidRPr="00107C8B" w14:paraId="5CED10E4" w14:textId="77777777" w:rsidTr="004251A3">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2BCDA69A" w14:textId="77777777" w:rsidR="00045A24" w:rsidRPr="00107C8B" w:rsidRDefault="00045A24" w:rsidP="004251A3">
            <w:pPr>
              <w:rPr>
                <w:rFonts w:ascii="Calibri" w:eastAsia="Times New Roman" w:hAnsi="Calibri" w:cs="Calibri"/>
                <w:color w:val="000000"/>
                <w:lang w:eastAsia="it-IT"/>
              </w:rPr>
            </w:pPr>
            <w:r w:rsidRPr="00107C8B">
              <w:rPr>
                <w:rFonts w:ascii="Calibri" w:eastAsia="Times New Roman" w:hAnsi="Calibri" w:cs="Calibri"/>
                <w:color w:val="000000"/>
                <w:lang w:eastAsia="it-IT"/>
              </w:rPr>
              <w:t>a) 1-2.500</w:t>
            </w:r>
          </w:p>
        </w:tc>
        <w:tc>
          <w:tcPr>
            <w:tcW w:w="2000" w:type="dxa"/>
            <w:noWrap/>
            <w:vAlign w:val="bottom"/>
            <w:hideMark/>
          </w:tcPr>
          <w:p w14:paraId="0B7D31D3" w14:textId="77777777" w:rsidR="00045A24" w:rsidRPr="00107C8B" w:rsidRDefault="00045A24" w:rsidP="004251A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it-IT"/>
              </w:rPr>
            </w:pPr>
            <w:r w:rsidRPr="00107C8B">
              <w:rPr>
                <w:rFonts w:ascii="Calibri" w:hAnsi="Calibri"/>
                <w:b/>
                <w:color w:val="000000"/>
              </w:rPr>
              <w:t>62%</w:t>
            </w:r>
          </w:p>
        </w:tc>
      </w:tr>
      <w:tr w:rsidR="00045A24" w:rsidRPr="00107C8B" w14:paraId="28B018B9" w14:textId="77777777" w:rsidTr="004251A3">
        <w:trPr>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0DADDF3C" w14:textId="77777777" w:rsidR="00045A24" w:rsidRPr="00107C8B" w:rsidRDefault="00045A24" w:rsidP="004251A3">
            <w:pPr>
              <w:rPr>
                <w:rFonts w:ascii="Calibri" w:eastAsia="Times New Roman" w:hAnsi="Calibri" w:cs="Calibri"/>
                <w:color w:val="000000"/>
                <w:lang w:eastAsia="it-IT"/>
              </w:rPr>
            </w:pPr>
            <w:r w:rsidRPr="00107C8B">
              <w:rPr>
                <w:rFonts w:ascii="Calibri" w:eastAsia="Times New Roman" w:hAnsi="Calibri" w:cs="Calibri"/>
                <w:color w:val="000000"/>
                <w:lang w:eastAsia="it-IT"/>
              </w:rPr>
              <w:t>b) 2.501-5.000</w:t>
            </w:r>
          </w:p>
        </w:tc>
        <w:tc>
          <w:tcPr>
            <w:tcW w:w="2000" w:type="dxa"/>
            <w:noWrap/>
            <w:vAlign w:val="bottom"/>
            <w:hideMark/>
          </w:tcPr>
          <w:p w14:paraId="6259C38E" w14:textId="77777777" w:rsidR="00045A24" w:rsidRPr="00107C8B" w:rsidRDefault="00045A24" w:rsidP="004251A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it-IT"/>
              </w:rPr>
            </w:pPr>
            <w:r w:rsidRPr="00107C8B">
              <w:rPr>
                <w:rFonts w:ascii="Calibri" w:hAnsi="Calibri"/>
                <w:b/>
                <w:color w:val="000000"/>
              </w:rPr>
              <w:t>68%</w:t>
            </w:r>
          </w:p>
        </w:tc>
      </w:tr>
      <w:tr w:rsidR="00045A24" w:rsidRPr="00107C8B" w14:paraId="07044520" w14:textId="77777777" w:rsidTr="004251A3">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06B12789" w14:textId="77777777" w:rsidR="00045A24" w:rsidRPr="00107C8B" w:rsidRDefault="00045A24" w:rsidP="004251A3">
            <w:pPr>
              <w:rPr>
                <w:rFonts w:ascii="Calibri" w:eastAsia="Times New Roman" w:hAnsi="Calibri" w:cs="Calibri"/>
                <w:lang w:eastAsia="it-IT"/>
              </w:rPr>
            </w:pPr>
            <w:r w:rsidRPr="00107C8B">
              <w:rPr>
                <w:rFonts w:ascii="Calibri" w:eastAsia="Times New Roman" w:hAnsi="Calibri" w:cs="Calibri"/>
                <w:lang w:eastAsia="it-IT"/>
              </w:rPr>
              <w:t>c) 5.001-15.000</w:t>
            </w:r>
          </w:p>
        </w:tc>
        <w:tc>
          <w:tcPr>
            <w:tcW w:w="2000" w:type="dxa"/>
            <w:noWrap/>
            <w:vAlign w:val="bottom"/>
            <w:hideMark/>
          </w:tcPr>
          <w:p w14:paraId="55465A55" w14:textId="77777777" w:rsidR="00045A24" w:rsidRPr="00107C8B" w:rsidRDefault="00045A24" w:rsidP="004251A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eastAsia="it-IT"/>
              </w:rPr>
            </w:pPr>
            <w:r w:rsidRPr="00107C8B">
              <w:rPr>
                <w:rFonts w:ascii="Calibri" w:hAnsi="Calibri"/>
                <w:b/>
                <w:color w:val="000000"/>
              </w:rPr>
              <w:t>69%</w:t>
            </w:r>
          </w:p>
        </w:tc>
      </w:tr>
      <w:tr w:rsidR="00045A24" w:rsidRPr="00107C8B" w14:paraId="436B5D76" w14:textId="77777777" w:rsidTr="004251A3">
        <w:trPr>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49DC92B9" w14:textId="77777777" w:rsidR="00045A24" w:rsidRPr="00107C8B" w:rsidRDefault="00045A24" w:rsidP="004251A3">
            <w:pPr>
              <w:rPr>
                <w:rFonts w:ascii="Calibri" w:eastAsia="Times New Roman" w:hAnsi="Calibri" w:cs="Calibri"/>
                <w:color w:val="000000"/>
                <w:lang w:eastAsia="it-IT"/>
              </w:rPr>
            </w:pPr>
            <w:r w:rsidRPr="00107C8B">
              <w:rPr>
                <w:rFonts w:ascii="Calibri" w:eastAsia="Times New Roman" w:hAnsi="Calibri" w:cs="Calibri"/>
                <w:color w:val="000000"/>
                <w:lang w:eastAsia="it-IT"/>
              </w:rPr>
              <w:t>d) 15.001-30.000</w:t>
            </w:r>
          </w:p>
        </w:tc>
        <w:tc>
          <w:tcPr>
            <w:tcW w:w="2000" w:type="dxa"/>
            <w:noWrap/>
            <w:vAlign w:val="bottom"/>
            <w:hideMark/>
          </w:tcPr>
          <w:p w14:paraId="2DF5A298" w14:textId="77777777" w:rsidR="00045A24" w:rsidRPr="00107C8B" w:rsidRDefault="00045A24" w:rsidP="004251A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it-IT"/>
              </w:rPr>
            </w:pPr>
            <w:r w:rsidRPr="00107C8B">
              <w:rPr>
                <w:rFonts w:ascii="Calibri" w:hAnsi="Calibri"/>
                <w:b/>
                <w:color w:val="000000"/>
              </w:rPr>
              <w:t>67%</w:t>
            </w:r>
          </w:p>
        </w:tc>
      </w:tr>
      <w:tr w:rsidR="00045A24" w:rsidRPr="00107C8B" w14:paraId="2A079ACD" w14:textId="77777777" w:rsidTr="004251A3">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08ED5335" w14:textId="77777777" w:rsidR="00045A24" w:rsidRPr="00107C8B" w:rsidRDefault="00045A24" w:rsidP="004251A3">
            <w:pPr>
              <w:rPr>
                <w:rFonts w:ascii="Calibri" w:eastAsia="Times New Roman" w:hAnsi="Calibri" w:cs="Calibri"/>
                <w:color w:val="000000"/>
                <w:lang w:eastAsia="it-IT"/>
              </w:rPr>
            </w:pPr>
            <w:r w:rsidRPr="00107C8B">
              <w:rPr>
                <w:rFonts w:ascii="Calibri" w:eastAsia="Times New Roman" w:hAnsi="Calibri" w:cs="Calibri"/>
                <w:color w:val="000000"/>
                <w:lang w:eastAsia="it-IT"/>
              </w:rPr>
              <w:t>e) 30.001-50.000</w:t>
            </w:r>
          </w:p>
        </w:tc>
        <w:tc>
          <w:tcPr>
            <w:tcW w:w="2000" w:type="dxa"/>
            <w:noWrap/>
            <w:vAlign w:val="bottom"/>
            <w:hideMark/>
          </w:tcPr>
          <w:p w14:paraId="139DDBD8" w14:textId="77777777" w:rsidR="00045A24" w:rsidRPr="00107C8B" w:rsidRDefault="00045A24" w:rsidP="004251A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it-IT"/>
              </w:rPr>
            </w:pPr>
            <w:r w:rsidRPr="00107C8B">
              <w:rPr>
                <w:rFonts w:ascii="Calibri" w:hAnsi="Calibri"/>
                <w:b/>
                <w:color w:val="000000"/>
              </w:rPr>
              <w:t>63%</w:t>
            </w:r>
          </w:p>
        </w:tc>
      </w:tr>
      <w:tr w:rsidR="00045A24" w:rsidRPr="00107C8B" w14:paraId="0F14BFB4" w14:textId="77777777" w:rsidTr="004251A3">
        <w:trPr>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00CA8032" w14:textId="77777777" w:rsidR="00045A24" w:rsidRPr="00107C8B" w:rsidRDefault="00045A24" w:rsidP="004251A3">
            <w:pPr>
              <w:rPr>
                <w:rFonts w:ascii="Calibri" w:eastAsia="Times New Roman" w:hAnsi="Calibri" w:cs="Calibri"/>
                <w:color w:val="000000"/>
                <w:lang w:eastAsia="it-IT"/>
              </w:rPr>
            </w:pPr>
            <w:r w:rsidRPr="00107C8B">
              <w:rPr>
                <w:rFonts w:ascii="Calibri" w:eastAsia="Times New Roman" w:hAnsi="Calibri" w:cs="Calibri"/>
                <w:color w:val="000000"/>
                <w:lang w:eastAsia="it-IT"/>
              </w:rPr>
              <w:t>f) 50.001-100.000</w:t>
            </w:r>
          </w:p>
        </w:tc>
        <w:tc>
          <w:tcPr>
            <w:tcW w:w="2000" w:type="dxa"/>
            <w:noWrap/>
            <w:vAlign w:val="bottom"/>
            <w:hideMark/>
          </w:tcPr>
          <w:p w14:paraId="73A4A9D8" w14:textId="77777777" w:rsidR="00045A24" w:rsidRPr="00107C8B" w:rsidRDefault="00045A24" w:rsidP="004251A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it-IT"/>
              </w:rPr>
            </w:pPr>
            <w:r w:rsidRPr="00107C8B">
              <w:rPr>
                <w:rFonts w:ascii="Calibri" w:hAnsi="Calibri"/>
                <w:b/>
                <w:color w:val="000000"/>
              </w:rPr>
              <w:t>59%</w:t>
            </w:r>
          </w:p>
        </w:tc>
      </w:tr>
      <w:tr w:rsidR="00045A24" w:rsidRPr="00107C8B" w14:paraId="58C68660" w14:textId="77777777" w:rsidTr="004251A3">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2A0B218D" w14:textId="77777777" w:rsidR="00045A24" w:rsidRPr="00107C8B" w:rsidRDefault="00045A24" w:rsidP="004251A3">
            <w:pPr>
              <w:rPr>
                <w:rFonts w:ascii="Calibri" w:eastAsia="Times New Roman" w:hAnsi="Calibri" w:cs="Calibri"/>
                <w:color w:val="000000"/>
                <w:lang w:eastAsia="it-IT"/>
              </w:rPr>
            </w:pPr>
            <w:r w:rsidRPr="00107C8B">
              <w:rPr>
                <w:rFonts w:ascii="Calibri" w:eastAsia="Times New Roman" w:hAnsi="Calibri" w:cs="Calibri"/>
                <w:color w:val="000000"/>
                <w:lang w:eastAsia="it-IT"/>
              </w:rPr>
              <w:t>g) 100.001-200.000</w:t>
            </w:r>
          </w:p>
        </w:tc>
        <w:tc>
          <w:tcPr>
            <w:tcW w:w="2000" w:type="dxa"/>
            <w:noWrap/>
            <w:vAlign w:val="bottom"/>
            <w:hideMark/>
          </w:tcPr>
          <w:p w14:paraId="0812EACE" w14:textId="77777777" w:rsidR="00045A24" w:rsidRPr="00107C8B" w:rsidRDefault="00045A24" w:rsidP="004251A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it-IT"/>
              </w:rPr>
            </w:pPr>
            <w:r w:rsidRPr="00107C8B">
              <w:rPr>
                <w:rFonts w:ascii="Calibri" w:hAnsi="Calibri"/>
                <w:b/>
                <w:color w:val="000000"/>
              </w:rPr>
              <w:t>62%</w:t>
            </w:r>
          </w:p>
        </w:tc>
      </w:tr>
      <w:tr w:rsidR="00045A24" w:rsidRPr="007120EC" w14:paraId="4E6A5B73" w14:textId="77777777" w:rsidTr="004251A3">
        <w:trPr>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531DEACA" w14:textId="77777777" w:rsidR="00045A24" w:rsidRPr="00107C8B" w:rsidRDefault="00045A24" w:rsidP="004251A3">
            <w:pPr>
              <w:rPr>
                <w:rFonts w:ascii="Calibri" w:eastAsia="Times New Roman" w:hAnsi="Calibri" w:cs="Calibri"/>
                <w:color w:val="000000"/>
                <w:lang w:eastAsia="it-IT"/>
              </w:rPr>
            </w:pPr>
            <w:r w:rsidRPr="00107C8B">
              <w:rPr>
                <w:rFonts w:ascii="Calibri" w:eastAsia="Times New Roman" w:hAnsi="Calibri" w:cs="Calibri"/>
                <w:color w:val="000000"/>
                <w:lang w:eastAsia="it-IT"/>
              </w:rPr>
              <w:t>h) &gt;200.000</w:t>
            </w:r>
          </w:p>
        </w:tc>
        <w:tc>
          <w:tcPr>
            <w:tcW w:w="2000" w:type="dxa"/>
            <w:noWrap/>
            <w:vAlign w:val="bottom"/>
            <w:hideMark/>
          </w:tcPr>
          <w:p w14:paraId="3DC52006" w14:textId="77777777" w:rsidR="00045A24" w:rsidRPr="007120EC" w:rsidRDefault="00045A24" w:rsidP="004251A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it-IT"/>
              </w:rPr>
            </w:pPr>
            <w:r w:rsidRPr="00107C8B">
              <w:rPr>
                <w:rFonts w:ascii="Calibri" w:hAnsi="Calibri"/>
                <w:b/>
                <w:color w:val="000000"/>
              </w:rPr>
              <w:t>45%</w:t>
            </w:r>
          </w:p>
        </w:tc>
      </w:tr>
    </w:tbl>
    <w:p w14:paraId="61431960" w14:textId="77777777" w:rsidR="00045A24" w:rsidRDefault="00045A24" w:rsidP="00045A24"/>
    <w:p w14:paraId="66316678" w14:textId="77777777" w:rsidR="00935F95" w:rsidRDefault="00935F95" w:rsidP="00045A24">
      <w:r>
        <w:lastRenderedPageBreak/>
        <w:t xml:space="preserve">Per queste motivazioni, il parametro </w:t>
      </w:r>
      <w:r w:rsidRPr="00A20016">
        <w:t>γ</w:t>
      </w:r>
      <w:r w:rsidRPr="00A20016">
        <w:rPr>
          <w:vertAlign w:val="subscript"/>
        </w:rPr>
        <w:t>1</w:t>
      </w:r>
      <w:r w:rsidRPr="00A20016">
        <w:t xml:space="preserve"> v</w:t>
      </w:r>
      <w:r>
        <w:t>iene scelto nel range corrispondente ad una valutazione soddisfacente</w:t>
      </w:r>
      <w:r w:rsidR="0099410E">
        <w:t xml:space="preserve"> della tabella:</w:t>
      </w:r>
    </w:p>
    <w:p w14:paraId="1034E755" w14:textId="77777777" w:rsidR="0099410E" w:rsidRDefault="0099410E" w:rsidP="00045A24"/>
    <w:tbl>
      <w:tblPr>
        <w:tblW w:w="7230" w:type="dxa"/>
        <w:jc w:val="center"/>
        <w:tblCellMar>
          <w:left w:w="70" w:type="dxa"/>
          <w:right w:w="70" w:type="dxa"/>
        </w:tblCellMar>
        <w:tblLook w:val="04A0" w:firstRow="1" w:lastRow="0" w:firstColumn="1" w:lastColumn="0" w:noHBand="0" w:noVBand="1"/>
      </w:tblPr>
      <w:tblGrid>
        <w:gridCol w:w="618"/>
        <w:gridCol w:w="2568"/>
        <w:gridCol w:w="1776"/>
        <w:gridCol w:w="2268"/>
      </w:tblGrid>
      <w:tr w:rsidR="0099410E" w:rsidRPr="0099410E" w14:paraId="2E8F9DE7" w14:textId="77777777" w:rsidTr="0099410E">
        <w:trPr>
          <w:trHeight w:val="482"/>
          <w:jc w:val="center"/>
        </w:trPr>
        <w:tc>
          <w:tcPr>
            <w:tcW w:w="618" w:type="dxa"/>
            <w:tcBorders>
              <w:top w:val="nil"/>
              <w:left w:val="nil"/>
              <w:bottom w:val="nil"/>
              <w:right w:val="nil"/>
            </w:tcBorders>
            <w:shd w:val="clear" w:color="000000" w:fill="FFFFFF"/>
            <w:noWrap/>
            <w:vAlign w:val="bottom"/>
            <w:hideMark/>
          </w:tcPr>
          <w:p w14:paraId="589B6445" w14:textId="77777777" w:rsidR="0099410E" w:rsidRPr="0099410E" w:rsidRDefault="0099410E" w:rsidP="0099410E">
            <w:pPr>
              <w:jc w:val="center"/>
              <w:rPr>
                <w:rFonts w:ascii="Calibri" w:hAnsi="Calibri" w:cs="Calibri"/>
                <w:b/>
                <w:bCs/>
                <w:color w:val="000000"/>
                <w:sz w:val="22"/>
                <w:szCs w:val="22"/>
                <w:u w:val="single"/>
              </w:rPr>
            </w:pPr>
            <w:r w:rsidRPr="0099410E">
              <w:rPr>
                <w:rFonts w:ascii="Calibri" w:hAnsi="Calibri" w:cs="Calibri"/>
                <w:b/>
                <w:bCs/>
                <w:color w:val="000000"/>
                <w:sz w:val="22"/>
                <w:szCs w:val="22"/>
                <w:u w:val="single"/>
              </w:rPr>
              <w:t> </w:t>
            </w:r>
          </w:p>
        </w:tc>
        <w:tc>
          <w:tcPr>
            <w:tcW w:w="2568" w:type="dxa"/>
            <w:tcBorders>
              <w:top w:val="nil"/>
              <w:left w:val="nil"/>
              <w:bottom w:val="nil"/>
              <w:right w:val="nil"/>
            </w:tcBorders>
            <w:shd w:val="clear" w:color="000000" w:fill="FFFFFF"/>
            <w:noWrap/>
            <w:vAlign w:val="bottom"/>
            <w:hideMark/>
          </w:tcPr>
          <w:p w14:paraId="5C629457" w14:textId="77777777" w:rsidR="0099410E" w:rsidRPr="0099410E" w:rsidRDefault="0099410E" w:rsidP="0099410E">
            <w:pPr>
              <w:jc w:val="center"/>
              <w:rPr>
                <w:rFonts w:ascii="Calibri" w:hAnsi="Calibri" w:cs="Calibri"/>
                <w:b/>
                <w:bCs/>
                <w:color w:val="000000"/>
                <w:sz w:val="22"/>
                <w:szCs w:val="22"/>
                <w:u w:val="single"/>
              </w:rPr>
            </w:pPr>
            <w:r w:rsidRPr="0099410E">
              <w:rPr>
                <w:rFonts w:ascii="Calibri" w:hAnsi="Calibri" w:cs="Calibri"/>
                <w:b/>
                <w:bCs/>
                <w:color w:val="000000"/>
                <w:sz w:val="22"/>
                <w:szCs w:val="22"/>
                <w:u w:val="single"/>
              </w:rPr>
              <w:t> </w:t>
            </w:r>
          </w:p>
        </w:tc>
        <w:tc>
          <w:tcPr>
            <w:tcW w:w="1776" w:type="dxa"/>
            <w:tcBorders>
              <w:top w:val="single" w:sz="4" w:space="0" w:color="808080"/>
              <w:left w:val="single" w:sz="4" w:space="0" w:color="808080"/>
              <w:bottom w:val="single" w:sz="4" w:space="0" w:color="808080"/>
              <w:right w:val="single" w:sz="4" w:space="0" w:color="808080"/>
            </w:tcBorders>
            <w:shd w:val="clear" w:color="000000" w:fill="E7E6E6"/>
            <w:vAlign w:val="center"/>
            <w:hideMark/>
          </w:tcPr>
          <w:p w14:paraId="4CE1AF50" w14:textId="77777777" w:rsidR="0099410E" w:rsidRPr="0099410E" w:rsidRDefault="0099410E" w:rsidP="0099410E">
            <w:pPr>
              <w:jc w:val="center"/>
              <w:rPr>
                <w:color w:val="000000"/>
                <w:sz w:val="20"/>
                <w:szCs w:val="20"/>
              </w:rPr>
            </w:pPr>
            <w:r w:rsidRPr="0099410E">
              <w:rPr>
                <w:color w:val="000000"/>
                <w:sz w:val="20"/>
                <w:szCs w:val="20"/>
              </w:rPr>
              <w:t>SODDISFACENTE</w:t>
            </w:r>
          </w:p>
        </w:tc>
        <w:tc>
          <w:tcPr>
            <w:tcW w:w="2268" w:type="dxa"/>
            <w:tcBorders>
              <w:top w:val="single" w:sz="4" w:space="0" w:color="808080"/>
              <w:left w:val="nil"/>
              <w:bottom w:val="single" w:sz="4" w:space="0" w:color="808080"/>
              <w:right w:val="single" w:sz="4" w:space="0" w:color="808080"/>
            </w:tcBorders>
            <w:shd w:val="clear" w:color="000000" w:fill="E7E6E6"/>
            <w:vAlign w:val="center"/>
            <w:hideMark/>
          </w:tcPr>
          <w:p w14:paraId="090F6483" w14:textId="77777777" w:rsidR="0099410E" w:rsidRPr="0099410E" w:rsidRDefault="0099410E" w:rsidP="0099410E">
            <w:pPr>
              <w:jc w:val="center"/>
              <w:rPr>
                <w:color w:val="000000"/>
                <w:sz w:val="20"/>
                <w:szCs w:val="20"/>
              </w:rPr>
            </w:pPr>
            <w:r w:rsidRPr="0099410E">
              <w:rPr>
                <w:color w:val="000000"/>
                <w:sz w:val="20"/>
                <w:szCs w:val="20"/>
              </w:rPr>
              <w:t>NON SODDISFACENTE</w:t>
            </w:r>
          </w:p>
        </w:tc>
      </w:tr>
      <w:tr w:rsidR="0099410E" w:rsidRPr="0099410E" w14:paraId="57A5D298" w14:textId="77777777" w:rsidTr="0099410E">
        <w:trPr>
          <w:trHeight w:val="408"/>
          <w:jc w:val="center"/>
        </w:trPr>
        <w:tc>
          <w:tcPr>
            <w:tcW w:w="3186" w:type="dxa"/>
            <w:gridSpan w:val="2"/>
            <w:vMerge w:val="restart"/>
            <w:tcBorders>
              <w:top w:val="single" w:sz="4" w:space="0" w:color="808080"/>
              <w:left w:val="single" w:sz="4" w:space="0" w:color="808080"/>
              <w:bottom w:val="single" w:sz="4" w:space="0" w:color="808080"/>
              <w:right w:val="single" w:sz="4" w:space="0" w:color="808080"/>
            </w:tcBorders>
            <w:shd w:val="clear" w:color="000000" w:fill="E7E6E6"/>
            <w:vAlign w:val="center"/>
            <w:hideMark/>
          </w:tcPr>
          <w:p w14:paraId="56A9761E" w14:textId="77777777" w:rsidR="0099410E" w:rsidRPr="0099410E" w:rsidRDefault="0099410E" w:rsidP="0099410E">
            <w:pPr>
              <w:jc w:val="center"/>
              <w:rPr>
                <w:color w:val="000000"/>
                <w:sz w:val="20"/>
                <w:szCs w:val="20"/>
              </w:rPr>
            </w:pPr>
            <w:r w:rsidRPr="0099410E">
              <w:rPr>
                <w:color w:val="000000"/>
                <w:sz w:val="20"/>
                <w:szCs w:val="20"/>
              </w:rPr>
              <w:t>Valutazione in merito al rispetto degli obiettivi di raccolta differenziata raggiunti (γ1,</w:t>
            </w:r>
            <w:r w:rsidRPr="0099410E">
              <w:rPr>
                <w:rFonts w:ascii="Cambria Math" w:hAnsi="Cambria Math" w:cs="Cambria Math"/>
                <w:color w:val="000000"/>
                <w:sz w:val="20"/>
                <w:szCs w:val="20"/>
              </w:rPr>
              <w:t>𝑎</w:t>
            </w:r>
            <w:r w:rsidRPr="0099410E">
              <w:rPr>
                <w:color w:val="000000"/>
                <w:sz w:val="20"/>
                <w:szCs w:val="20"/>
              </w:rPr>
              <w:t xml:space="preserve">) </w:t>
            </w:r>
          </w:p>
        </w:tc>
        <w:tc>
          <w:tcPr>
            <w:tcW w:w="1776" w:type="dxa"/>
            <w:vMerge w:val="restart"/>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E253683" w14:textId="77777777" w:rsidR="0099410E" w:rsidRPr="0099410E" w:rsidRDefault="0099410E" w:rsidP="0099410E">
            <w:pPr>
              <w:jc w:val="center"/>
              <w:rPr>
                <w:rFonts w:ascii="Calibri" w:hAnsi="Calibri" w:cs="Calibri"/>
                <w:color w:val="000000"/>
                <w:sz w:val="22"/>
                <w:szCs w:val="22"/>
              </w:rPr>
            </w:pPr>
            <w:r w:rsidRPr="0099410E">
              <w:rPr>
                <w:rFonts w:ascii="Calibri" w:hAnsi="Calibri" w:cs="Calibri"/>
                <w:color w:val="000000"/>
                <w:sz w:val="22"/>
                <w:szCs w:val="22"/>
              </w:rPr>
              <w:t>-0,2 &lt; γ1 ≤ 0</w:t>
            </w:r>
          </w:p>
        </w:tc>
        <w:tc>
          <w:tcPr>
            <w:tcW w:w="2268" w:type="dxa"/>
            <w:vMerge w:val="restart"/>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4A922B9" w14:textId="77777777" w:rsidR="0099410E" w:rsidRPr="0099410E" w:rsidRDefault="0099410E" w:rsidP="0099410E">
            <w:pPr>
              <w:jc w:val="center"/>
              <w:rPr>
                <w:rFonts w:ascii="Calibri" w:hAnsi="Calibri" w:cs="Calibri"/>
                <w:color w:val="000000"/>
                <w:sz w:val="22"/>
                <w:szCs w:val="22"/>
              </w:rPr>
            </w:pPr>
            <w:r w:rsidRPr="0099410E">
              <w:rPr>
                <w:rFonts w:ascii="Calibri" w:hAnsi="Calibri" w:cs="Calibri"/>
                <w:color w:val="000000"/>
                <w:sz w:val="22"/>
                <w:szCs w:val="22"/>
              </w:rPr>
              <w:t>-0,4 ≤ γ1 ≤ -0,2</w:t>
            </w:r>
          </w:p>
        </w:tc>
      </w:tr>
      <w:tr w:rsidR="0099410E" w:rsidRPr="0099410E" w14:paraId="14E1B03E" w14:textId="77777777" w:rsidTr="0099410E">
        <w:trPr>
          <w:trHeight w:val="408"/>
          <w:jc w:val="center"/>
        </w:trPr>
        <w:tc>
          <w:tcPr>
            <w:tcW w:w="3186" w:type="dxa"/>
            <w:gridSpan w:val="2"/>
            <w:vMerge/>
            <w:tcBorders>
              <w:top w:val="single" w:sz="4" w:space="0" w:color="808080"/>
              <w:left w:val="single" w:sz="4" w:space="0" w:color="808080"/>
              <w:bottom w:val="single" w:sz="4" w:space="0" w:color="808080"/>
              <w:right w:val="single" w:sz="4" w:space="0" w:color="808080"/>
            </w:tcBorders>
            <w:vAlign w:val="center"/>
            <w:hideMark/>
          </w:tcPr>
          <w:p w14:paraId="0F8D04B0" w14:textId="77777777" w:rsidR="0099410E" w:rsidRPr="0099410E" w:rsidRDefault="0099410E" w:rsidP="0099410E">
            <w:pPr>
              <w:jc w:val="left"/>
              <w:rPr>
                <w:color w:val="000000"/>
                <w:sz w:val="20"/>
                <w:szCs w:val="20"/>
              </w:rPr>
            </w:pPr>
          </w:p>
        </w:tc>
        <w:tc>
          <w:tcPr>
            <w:tcW w:w="1776" w:type="dxa"/>
            <w:vMerge/>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FF983E5" w14:textId="77777777" w:rsidR="0099410E" w:rsidRPr="0099410E" w:rsidRDefault="0099410E" w:rsidP="0099410E">
            <w:pPr>
              <w:jc w:val="left"/>
              <w:rPr>
                <w:rFonts w:ascii="Calibri" w:hAnsi="Calibri" w:cs="Calibri"/>
                <w:color w:val="000000"/>
                <w:sz w:val="22"/>
                <w:szCs w:val="22"/>
              </w:rPr>
            </w:pPr>
          </w:p>
        </w:tc>
        <w:tc>
          <w:tcPr>
            <w:tcW w:w="2268" w:type="dxa"/>
            <w:vMerge/>
            <w:tcBorders>
              <w:top w:val="single" w:sz="4" w:space="0" w:color="808080"/>
              <w:left w:val="single" w:sz="4" w:space="0" w:color="808080"/>
              <w:bottom w:val="single" w:sz="4" w:space="0" w:color="808080"/>
              <w:right w:val="single" w:sz="4" w:space="0" w:color="808080"/>
            </w:tcBorders>
            <w:vAlign w:val="center"/>
            <w:hideMark/>
          </w:tcPr>
          <w:p w14:paraId="1245A543" w14:textId="77777777" w:rsidR="0099410E" w:rsidRPr="0099410E" w:rsidRDefault="0099410E" w:rsidP="0099410E">
            <w:pPr>
              <w:jc w:val="left"/>
              <w:rPr>
                <w:rFonts w:ascii="Calibri" w:hAnsi="Calibri" w:cs="Calibri"/>
                <w:color w:val="000000"/>
                <w:sz w:val="22"/>
                <w:szCs w:val="22"/>
              </w:rPr>
            </w:pPr>
          </w:p>
        </w:tc>
      </w:tr>
      <w:tr w:rsidR="0099410E" w:rsidRPr="0099410E" w14:paraId="527A1A56" w14:textId="77777777" w:rsidTr="0099410E">
        <w:trPr>
          <w:trHeight w:val="408"/>
          <w:jc w:val="center"/>
        </w:trPr>
        <w:tc>
          <w:tcPr>
            <w:tcW w:w="3186" w:type="dxa"/>
            <w:gridSpan w:val="2"/>
            <w:vMerge/>
            <w:tcBorders>
              <w:top w:val="single" w:sz="4" w:space="0" w:color="808080"/>
              <w:left w:val="single" w:sz="4" w:space="0" w:color="808080"/>
              <w:bottom w:val="single" w:sz="4" w:space="0" w:color="808080"/>
              <w:right w:val="single" w:sz="4" w:space="0" w:color="808080"/>
            </w:tcBorders>
            <w:vAlign w:val="center"/>
            <w:hideMark/>
          </w:tcPr>
          <w:p w14:paraId="3132F724" w14:textId="77777777" w:rsidR="0099410E" w:rsidRPr="0099410E" w:rsidRDefault="0099410E" w:rsidP="0099410E">
            <w:pPr>
              <w:jc w:val="left"/>
              <w:rPr>
                <w:color w:val="000000"/>
                <w:sz w:val="20"/>
                <w:szCs w:val="20"/>
              </w:rPr>
            </w:pPr>
          </w:p>
        </w:tc>
        <w:tc>
          <w:tcPr>
            <w:tcW w:w="1776" w:type="dxa"/>
            <w:vMerge/>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B3FF7E6" w14:textId="77777777" w:rsidR="0099410E" w:rsidRPr="0099410E" w:rsidRDefault="0099410E" w:rsidP="0099410E">
            <w:pPr>
              <w:jc w:val="left"/>
              <w:rPr>
                <w:rFonts w:ascii="Calibri" w:hAnsi="Calibri" w:cs="Calibri"/>
                <w:color w:val="000000"/>
                <w:sz w:val="22"/>
                <w:szCs w:val="22"/>
              </w:rPr>
            </w:pPr>
          </w:p>
        </w:tc>
        <w:tc>
          <w:tcPr>
            <w:tcW w:w="2268" w:type="dxa"/>
            <w:vMerge/>
            <w:tcBorders>
              <w:top w:val="single" w:sz="4" w:space="0" w:color="808080"/>
              <w:left w:val="single" w:sz="4" w:space="0" w:color="808080"/>
              <w:bottom w:val="single" w:sz="4" w:space="0" w:color="808080"/>
              <w:right w:val="single" w:sz="4" w:space="0" w:color="808080"/>
            </w:tcBorders>
            <w:vAlign w:val="center"/>
            <w:hideMark/>
          </w:tcPr>
          <w:p w14:paraId="3015E189" w14:textId="77777777" w:rsidR="0099410E" w:rsidRPr="0099410E" w:rsidRDefault="0099410E" w:rsidP="0099410E">
            <w:pPr>
              <w:jc w:val="left"/>
              <w:rPr>
                <w:rFonts w:ascii="Calibri" w:hAnsi="Calibri" w:cs="Calibri"/>
                <w:color w:val="000000"/>
                <w:sz w:val="22"/>
                <w:szCs w:val="22"/>
              </w:rPr>
            </w:pPr>
          </w:p>
        </w:tc>
      </w:tr>
    </w:tbl>
    <w:p w14:paraId="31513FB7" w14:textId="77777777" w:rsidR="0099410E" w:rsidRDefault="0099410E" w:rsidP="00045A24"/>
    <w:p w14:paraId="15062D98" w14:textId="77777777" w:rsidR="00935F95" w:rsidRDefault="0099410E" w:rsidP="00045A24">
      <w:r>
        <w:t xml:space="preserve">e valorizzato al valore medio per tutti i 4 anni 2022-2025: </w:t>
      </w:r>
      <w:r w:rsidRPr="0099410E">
        <w:rPr>
          <w:b/>
          <w:bCs/>
        </w:rPr>
        <w:t>ɣ1 = -0,1</w:t>
      </w:r>
      <w:r>
        <w:t>.</w:t>
      </w:r>
    </w:p>
    <w:p w14:paraId="290FD917" w14:textId="77777777" w:rsidR="00935F95" w:rsidRPr="001D2CAE" w:rsidRDefault="00935F95" w:rsidP="00045A24"/>
    <w:p w14:paraId="60081C06" w14:textId="77777777" w:rsidR="00045A24" w:rsidRDefault="00045A24" w:rsidP="00045A24">
      <w:pPr>
        <w:rPr>
          <w:b/>
          <w:i/>
        </w:rPr>
      </w:pPr>
      <w:r w:rsidRPr="00A20016">
        <w:rPr>
          <w:b/>
          <w:i/>
        </w:rPr>
        <w:t>γ2 - performance riutilizzo/riciclo</w:t>
      </w:r>
    </w:p>
    <w:p w14:paraId="3227F5C3" w14:textId="77777777" w:rsidR="00045A24" w:rsidRPr="00A20016" w:rsidRDefault="00045A24" w:rsidP="00045A24">
      <w:pPr>
        <w:rPr>
          <w:b/>
          <w:i/>
        </w:rPr>
      </w:pPr>
    </w:p>
    <w:p w14:paraId="420BFCAD" w14:textId="77777777" w:rsidR="00045A24" w:rsidRDefault="00045A24" w:rsidP="00045A24">
      <w:r w:rsidRPr="00A20016">
        <w:t>Il presente indicatore valorizza la capacità della gestione di massimizzare le performance in termini di riutilizzo e riciclo. Per la valutazione di tale indicatore non sono disponibili evidenze quantitative con un dettaglio comunale</w:t>
      </w:r>
      <w:r w:rsidR="0034659A">
        <w:t>;</w:t>
      </w:r>
      <w:r w:rsidRPr="00A20016">
        <w:t xml:space="preserve"> pertanto </w:t>
      </w:r>
      <w:r w:rsidRPr="00A20016">
        <w:rPr>
          <w:b/>
        </w:rPr>
        <w:t xml:space="preserve">è necessario innanzitutto far riferimento al precedente indicatore </w:t>
      </w:r>
      <w:r w:rsidRPr="00A20016">
        <w:rPr>
          <w:b/>
          <w:i/>
        </w:rPr>
        <w:t xml:space="preserve">γ1 - Valutazione rispetto obiettivi % RD </w:t>
      </w:r>
      <w:r w:rsidRPr="00A20016">
        <w:rPr>
          <w:b/>
        </w:rPr>
        <w:t xml:space="preserve">quale </w:t>
      </w:r>
      <w:r w:rsidRPr="00A20016">
        <w:rPr>
          <w:b/>
          <w:i/>
        </w:rPr>
        <w:t>proxy</w:t>
      </w:r>
      <w:r w:rsidRPr="00A20016">
        <w:rPr>
          <w:b/>
        </w:rPr>
        <w:t xml:space="preserve"> dei valori di effettivo riutilizzo e recupero</w:t>
      </w:r>
      <w:r w:rsidRPr="00A20016">
        <w:t>.</w:t>
      </w:r>
    </w:p>
    <w:p w14:paraId="60E95396" w14:textId="77777777" w:rsidR="00045A24" w:rsidRDefault="00045A24" w:rsidP="00045A24">
      <w:r>
        <w:t>Inoltre, va considerato che la performance in materia di riutilizzo e riciclo non può essere delimitata ad un ambito comunale, dal momento che per l’ottimizzazione di tali processi è indispensabile una disponibilità impiantistica che non può che riguardare un ambito geografico più ampio. Per tale ragione appare in prima analisi opportuno considerare le performance regionali nelle attività di recupero di materia ed energia</w:t>
      </w:r>
      <w:r>
        <w:rPr>
          <w:rStyle w:val="Rimandonotaapidipagina"/>
        </w:rPr>
        <w:footnoteReference w:id="2"/>
      </w:r>
      <w:r>
        <w:t>.</w:t>
      </w:r>
    </w:p>
    <w:p w14:paraId="72387A0E" w14:textId="77777777" w:rsidR="00045A24" w:rsidRDefault="00045A24" w:rsidP="00045A24">
      <w:r>
        <w:t>Il grafico sottostante riporta la performance regionale a partire dalle elaborazioni di ARPA Lombardia sui dati presenti nell’applicativo ORSO</w:t>
      </w:r>
      <w:r>
        <w:rPr>
          <w:rStyle w:val="Rimandonotaapidipagina"/>
        </w:rPr>
        <w:footnoteReference w:id="3"/>
      </w:r>
      <w:r>
        <w:t>.</w:t>
      </w:r>
    </w:p>
    <w:p w14:paraId="7BAF5FBF" w14:textId="77777777" w:rsidR="00045A24" w:rsidRDefault="00045A24" w:rsidP="00045A24">
      <w:pPr>
        <w:jc w:val="center"/>
      </w:pPr>
      <w:r>
        <w:rPr>
          <w:noProof/>
        </w:rPr>
        <w:drawing>
          <wp:inline distT="0" distB="0" distL="0" distR="0" wp14:anchorId="2B5FE1FA" wp14:editId="186CFC81">
            <wp:extent cx="4817896" cy="2757830"/>
            <wp:effectExtent l="0" t="0" r="1905" b="444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4825" r="4907" b="8135"/>
                    <a:stretch/>
                  </pic:blipFill>
                  <pic:spPr bwMode="auto">
                    <a:xfrm>
                      <a:off x="0" y="0"/>
                      <a:ext cx="4845711" cy="2773752"/>
                    </a:xfrm>
                    <a:prstGeom prst="rect">
                      <a:avLst/>
                    </a:prstGeom>
                    <a:ln>
                      <a:noFill/>
                    </a:ln>
                    <a:extLst>
                      <a:ext uri="{53640926-AAD7-44D8-BBD7-CCE9431645EC}">
                        <a14:shadowObscured xmlns:a14="http://schemas.microsoft.com/office/drawing/2010/main"/>
                      </a:ext>
                    </a:extLst>
                  </pic:spPr>
                </pic:pic>
              </a:graphicData>
            </a:graphic>
          </wp:inline>
        </w:drawing>
      </w:r>
    </w:p>
    <w:p w14:paraId="11F91B8D" w14:textId="77777777" w:rsidR="00045A24" w:rsidRDefault="00045A24" w:rsidP="00045A24"/>
    <w:p w14:paraId="1CA298C3" w14:textId="77777777" w:rsidR="00045A24" w:rsidRDefault="00045A24" w:rsidP="00045A24">
      <w:r>
        <w:t>Tale grafico dimostra la performance eccellente a livello regionale, nonché la costante e significativa crescita del recupero di materia ed una conseguente riduzione della quota di recupero di energia.</w:t>
      </w:r>
    </w:p>
    <w:p w14:paraId="24CB2E95" w14:textId="1996A911" w:rsidR="00045A24" w:rsidRDefault="00045A24" w:rsidP="00045A24">
      <w:r>
        <w:t xml:space="preserve">Inoltre, dai dati pubblicati sul </w:t>
      </w:r>
      <w:r w:rsidRPr="006A7B5E">
        <w:t>Catasto Rifiuti relativamente all’annualità 2019, in concomitanza con l’uscita del Rapporto ISPRA RU a dicembre 2020, il Comune di B</w:t>
      </w:r>
      <w:r w:rsidR="0034659A">
        <w:t>rescia</w:t>
      </w:r>
      <w:r w:rsidRPr="006A7B5E">
        <w:t xml:space="preserve">, con un valore dell’indifferenziato/pro-capite pari a </w:t>
      </w:r>
      <w:r w:rsidRPr="006A7B5E">
        <w:rPr>
          <w:b/>
        </w:rPr>
        <w:t>1</w:t>
      </w:r>
      <w:r w:rsidR="00030FA4">
        <w:rPr>
          <w:b/>
        </w:rPr>
        <w:t>62</w:t>
      </w:r>
      <w:r w:rsidRPr="006A7B5E">
        <w:rPr>
          <w:b/>
        </w:rPr>
        <w:t xml:space="preserve"> kg/abitante</w:t>
      </w:r>
      <w:r w:rsidRPr="006A7B5E">
        <w:t>, si posiziona sotto la</w:t>
      </w:r>
      <w:r w:rsidRPr="008B77EC">
        <w:t xml:space="preserve"> media nazionale</w:t>
      </w:r>
      <w:r>
        <w:t xml:space="preserve"> dei </w:t>
      </w:r>
      <w:r w:rsidR="005A5435">
        <w:t>C</w:t>
      </w:r>
      <w:r>
        <w:t>omuni appartenenti al medesimo cluster di popolazione residente servita (cfr. tabella seguente</w:t>
      </w:r>
      <w:r>
        <w:rPr>
          <w:rStyle w:val="Rimandonotaapidipagina"/>
        </w:rPr>
        <w:footnoteReference w:id="4"/>
      </w:r>
      <w:r>
        <w:t xml:space="preserve">), considerando la riduzione dei rifiuti indifferenziati pro-capite come un ulteriore indicatore per la valorizzazione delle buone performance di recupero della gestione. </w:t>
      </w:r>
    </w:p>
    <w:p w14:paraId="21C6D762" w14:textId="77777777" w:rsidR="00045A24" w:rsidRDefault="00045A24" w:rsidP="00045A24"/>
    <w:tbl>
      <w:tblPr>
        <w:tblStyle w:val="Tabellagriglia2-colore5"/>
        <w:tblW w:w="6150" w:type="dxa"/>
        <w:jc w:val="center"/>
        <w:tblLook w:val="04A0" w:firstRow="1" w:lastRow="0" w:firstColumn="1" w:lastColumn="0" w:noHBand="0" w:noVBand="1"/>
      </w:tblPr>
      <w:tblGrid>
        <w:gridCol w:w="4460"/>
        <w:gridCol w:w="1690"/>
      </w:tblGrid>
      <w:tr w:rsidR="00045A24" w:rsidRPr="007120EC" w14:paraId="3C7CCD61" w14:textId="77777777" w:rsidTr="004251A3">
        <w:trPr>
          <w:cnfStyle w:val="100000000000" w:firstRow="1" w:lastRow="0" w:firstColumn="0" w:lastColumn="0" w:oddVBand="0" w:evenVBand="0" w:oddHBand="0" w:evenHBand="0" w:firstRowFirstColumn="0" w:firstRowLastColumn="0" w:lastRowFirstColumn="0" w:lastRowLastColumn="0"/>
          <w:trHeight w:val="864"/>
          <w:jc w:val="center"/>
        </w:trPr>
        <w:tc>
          <w:tcPr>
            <w:cnfStyle w:val="001000000000" w:firstRow="0" w:lastRow="0" w:firstColumn="1" w:lastColumn="0" w:oddVBand="0" w:evenVBand="0" w:oddHBand="0" w:evenHBand="0" w:firstRowFirstColumn="0" w:firstRowLastColumn="0" w:lastRowFirstColumn="0" w:lastRowLastColumn="0"/>
            <w:tcW w:w="4460" w:type="dxa"/>
            <w:noWrap/>
            <w:vAlign w:val="center"/>
            <w:hideMark/>
          </w:tcPr>
          <w:p w14:paraId="6441887E" w14:textId="77777777" w:rsidR="00045A24" w:rsidRPr="00107C8B" w:rsidRDefault="00045A24" w:rsidP="004251A3">
            <w:pPr>
              <w:jc w:val="center"/>
              <w:rPr>
                <w:rFonts w:ascii="Calibri" w:eastAsia="Times New Roman" w:hAnsi="Calibri" w:cs="Calibri"/>
                <w:color w:val="000000"/>
                <w:lang w:eastAsia="it-IT"/>
              </w:rPr>
            </w:pPr>
            <w:r w:rsidRPr="00107C8B">
              <w:rPr>
                <w:rFonts w:ascii="Calibri" w:eastAsia="Times New Roman" w:hAnsi="Calibri" w:cs="Calibri"/>
                <w:color w:val="000000"/>
                <w:lang w:eastAsia="it-IT"/>
              </w:rPr>
              <w:t>Cluster popolazione residente</w:t>
            </w:r>
          </w:p>
        </w:tc>
        <w:tc>
          <w:tcPr>
            <w:tcW w:w="1690" w:type="dxa"/>
            <w:hideMark/>
          </w:tcPr>
          <w:p w14:paraId="411E24F6" w14:textId="77777777" w:rsidR="00045A24" w:rsidRPr="00107C8B" w:rsidRDefault="00045A24" w:rsidP="004251A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u w:val="single"/>
                <w:lang w:eastAsia="it-IT"/>
              </w:rPr>
            </w:pPr>
            <w:r w:rsidRPr="00107C8B">
              <w:rPr>
                <w:rFonts w:ascii="Calibri" w:eastAsia="Times New Roman" w:hAnsi="Calibri" w:cs="Calibri"/>
                <w:color w:val="000000"/>
                <w:u w:val="single"/>
                <w:lang w:eastAsia="it-IT"/>
              </w:rPr>
              <w:t>Produzione media RSU pro capite 2019 (kg/ab)</w:t>
            </w:r>
          </w:p>
        </w:tc>
      </w:tr>
      <w:tr w:rsidR="00045A24" w:rsidRPr="007120EC" w14:paraId="5BB2B184" w14:textId="77777777" w:rsidTr="004251A3">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1ADFDE2E" w14:textId="77777777" w:rsidR="00045A24" w:rsidRPr="007120EC" w:rsidRDefault="00045A24" w:rsidP="004251A3">
            <w:pPr>
              <w:rPr>
                <w:rFonts w:ascii="Calibri" w:eastAsia="Times New Roman" w:hAnsi="Calibri" w:cs="Calibri"/>
                <w:color w:val="000000"/>
                <w:lang w:eastAsia="it-IT"/>
              </w:rPr>
            </w:pPr>
            <w:r w:rsidRPr="007120EC">
              <w:rPr>
                <w:rFonts w:ascii="Calibri" w:eastAsia="Times New Roman" w:hAnsi="Calibri" w:cs="Calibri"/>
                <w:color w:val="000000"/>
                <w:lang w:eastAsia="it-IT"/>
              </w:rPr>
              <w:t>a) 1-2.500</w:t>
            </w:r>
          </w:p>
        </w:tc>
        <w:tc>
          <w:tcPr>
            <w:tcW w:w="1690" w:type="dxa"/>
            <w:noWrap/>
            <w:vAlign w:val="bottom"/>
            <w:hideMark/>
          </w:tcPr>
          <w:p w14:paraId="195B3952" w14:textId="77777777" w:rsidR="00045A24" w:rsidRPr="00E46710" w:rsidRDefault="00045A24" w:rsidP="004251A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it-IT"/>
              </w:rPr>
            </w:pPr>
            <w:r w:rsidRPr="00E46710">
              <w:rPr>
                <w:rFonts w:ascii="Calibri" w:hAnsi="Calibri"/>
                <w:b/>
                <w:color w:val="000000"/>
              </w:rPr>
              <w:t>158</w:t>
            </w:r>
          </w:p>
        </w:tc>
      </w:tr>
      <w:tr w:rsidR="00045A24" w:rsidRPr="007120EC" w14:paraId="3900B4FA" w14:textId="77777777" w:rsidTr="004251A3">
        <w:trPr>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7150EDAA" w14:textId="77777777" w:rsidR="00045A24" w:rsidRPr="007120EC" w:rsidRDefault="00045A24" w:rsidP="004251A3">
            <w:pPr>
              <w:rPr>
                <w:rFonts w:ascii="Calibri" w:eastAsia="Times New Roman" w:hAnsi="Calibri" w:cs="Calibri"/>
                <w:color w:val="000000"/>
                <w:lang w:eastAsia="it-IT"/>
              </w:rPr>
            </w:pPr>
            <w:r w:rsidRPr="007120EC">
              <w:rPr>
                <w:rFonts w:ascii="Calibri" w:eastAsia="Times New Roman" w:hAnsi="Calibri" w:cs="Calibri"/>
                <w:color w:val="000000"/>
                <w:lang w:eastAsia="it-IT"/>
              </w:rPr>
              <w:t>b) 2.501-5.000</w:t>
            </w:r>
          </w:p>
        </w:tc>
        <w:tc>
          <w:tcPr>
            <w:tcW w:w="1690" w:type="dxa"/>
            <w:noWrap/>
            <w:vAlign w:val="bottom"/>
            <w:hideMark/>
          </w:tcPr>
          <w:p w14:paraId="48BA955C" w14:textId="77777777" w:rsidR="00045A24" w:rsidRPr="00E46710" w:rsidRDefault="00045A24" w:rsidP="004251A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it-IT"/>
              </w:rPr>
            </w:pPr>
            <w:r w:rsidRPr="00E46710">
              <w:rPr>
                <w:rFonts w:ascii="Calibri" w:hAnsi="Calibri"/>
                <w:b/>
                <w:color w:val="000000"/>
              </w:rPr>
              <w:t>141</w:t>
            </w:r>
          </w:p>
        </w:tc>
      </w:tr>
      <w:tr w:rsidR="00045A24" w:rsidRPr="007120EC" w14:paraId="52EE7F9E" w14:textId="77777777" w:rsidTr="004251A3">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6B2BAA64" w14:textId="77777777" w:rsidR="00045A24" w:rsidRPr="007120EC" w:rsidRDefault="00045A24" w:rsidP="004251A3">
            <w:pPr>
              <w:rPr>
                <w:rFonts w:ascii="Calibri" w:eastAsia="Times New Roman" w:hAnsi="Calibri" w:cs="Calibri"/>
                <w:color w:val="000000"/>
                <w:lang w:eastAsia="it-IT"/>
              </w:rPr>
            </w:pPr>
            <w:r w:rsidRPr="007120EC">
              <w:rPr>
                <w:rFonts w:ascii="Calibri" w:eastAsia="Times New Roman" w:hAnsi="Calibri" w:cs="Calibri"/>
                <w:color w:val="000000"/>
                <w:lang w:eastAsia="it-IT"/>
              </w:rPr>
              <w:t>c) 5.001-15.000</w:t>
            </w:r>
          </w:p>
        </w:tc>
        <w:tc>
          <w:tcPr>
            <w:tcW w:w="1690" w:type="dxa"/>
            <w:noWrap/>
            <w:vAlign w:val="bottom"/>
            <w:hideMark/>
          </w:tcPr>
          <w:p w14:paraId="0534BACA" w14:textId="77777777" w:rsidR="00045A24" w:rsidRPr="00E46710" w:rsidRDefault="00045A24" w:rsidP="004251A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it-IT"/>
              </w:rPr>
            </w:pPr>
            <w:r w:rsidRPr="00E46710">
              <w:rPr>
                <w:rFonts w:ascii="Calibri" w:hAnsi="Calibri"/>
                <w:b/>
                <w:color w:val="000000"/>
              </w:rPr>
              <w:t>145</w:t>
            </w:r>
          </w:p>
        </w:tc>
      </w:tr>
      <w:tr w:rsidR="00045A24" w:rsidRPr="007120EC" w14:paraId="25EED37C" w14:textId="77777777" w:rsidTr="004251A3">
        <w:trPr>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22A2BEFF" w14:textId="77777777" w:rsidR="00045A24" w:rsidRPr="007120EC" w:rsidRDefault="00045A24" w:rsidP="004251A3">
            <w:pPr>
              <w:rPr>
                <w:rFonts w:ascii="Calibri" w:eastAsia="Times New Roman" w:hAnsi="Calibri" w:cs="Calibri"/>
                <w:color w:val="000000"/>
                <w:lang w:eastAsia="it-IT"/>
              </w:rPr>
            </w:pPr>
            <w:r w:rsidRPr="007120EC">
              <w:rPr>
                <w:rFonts w:ascii="Calibri" w:eastAsia="Times New Roman" w:hAnsi="Calibri" w:cs="Calibri"/>
                <w:color w:val="000000"/>
                <w:lang w:eastAsia="it-IT"/>
              </w:rPr>
              <w:t>d) 15.001-30.000</w:t>
            </w:r>
          </w:p>
        </w:tc>
        <w:tc>
          <w:tcPr>
            <w:tcW w:w="1690" w:type="dxa"/>
            <w:noWrap/>
            <w:vAlign w:val="bottom"/>
            <w:hideMark/>
          </w:tcPr>
          <w:p w14:paraId="5885F402" w14:textId="77777777" w:rsidR="00045A24" w:rsidRPr="00E46710" w:rsidRDefault="00045A24" w:rsidP="004251A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it-IT"/>
              </w:rPr>
            </w:pPr>
            <w:r w:rsidRPr="00E46710">
              <w:rPr>
                <w:rFonts w:ascii="Calibri" w:hAnsi="Calibri"/>
                <w:b/>
                <w:color w:val="000000"/>
              </w:rPr>
              <w:t>163</w:t>
            </w:r>
          </w:p>
        </w:tc>
      </w:tr>
      <w:tr w:rsidR="00045A24" w:rsidRPr="007120EC" w14:paraId="6C14C08F" w14:textId="77777777" w:rsidTr="004251A3">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5633FEF5" w14:textId="77777777" w:rsidR="00045A24" w:rsidRPr="007120EC" w:rsidRDefault="00045A24" w:rsidP="004251A3">
            <w:pPr>
              <w:rPr>
                <w:rFonts w:ascii="Calibri" w:eastAsia="Times New Roman" w:hAnsi="Calibri" w:cs="Calibri"/>
                <w:color w:val="000000"/>
                <w:lang w:eastAsia="it-IT"/>
              </w:rPr>
            </w:pPr>
            <w:r w:rsidRPr="007120EC">
              <w:rPr>
                <w:rFonts w:ascii="Calibri" w:eastAsia="Times New Roman" w:hAnsi="Calibri" w:cs="Calibri"/>
                <w:color w:val="000000"/>
                <w:lang w:eastAsia="it-IT"/>
              </w:rPr>
              <w:t>e) 30.001-50.000</w:t>
            </w:r>
          </w:p>
        </w:tc>
        <w:tc>
          <w:tcPr>
            <w:tcW w:w="1690" w:type="dxa"/>
            <w:noWrap/>
            <w:vAlign w:val="bottom"/>
            <w:hideMark/>
          </w:tcPr>
          <w:p w14:paraId="23C8DEB6" w14:textId="77777777" w:rsidR="00045A24" w:rsidRPr="00E46710" w:rsidRDefault="00045A24" w:rsidP="004251A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it-IT"/>
              </w:rPr>
            </w:pPr>
            <w:r w:rsidRPr="00E46710">
              <w:rPr>
                <w:rFonts w:ascii="Calibri" w:hAnsi="Calibri"/>
                <w:b/>
                <w:color w:val="000000"/>
              </w:rPr>
              <w:t>177</w:t>
            </w:r>
          </w:p>
        </w:tc>
      </w:tr>
      <w:tr w:rsidR="00045A24" w:rsidRPr="007120EC" w14:paraId="64BAB29A" w14:textId="77777777" w:rsidTr="004251A3">
        <w:trPr>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732C22FC" w14:textId="77777777" w:rsidR="00045A24" w:rsidRPr="007120EC" w:rsidRDefault="00045A24" w:rsidP="004251A3">
            <w:pPr>
              <w:rPr>
                <w:rFonts w:ascii="Calibri" w:eastAsia="Times New Roman" w:hAnsi="Calibri" w:cs="Calibri"/>
                <w:color w:val="000000"/>
                <w:lang w:eastAsia="it-IT"/>
              </w:rPr>
            </w:pPr>
            <w:r w:rsidRPr="007120EC">
              <w:rPr>
                <w:rFonts w:ascii="Calibri" w:eastAsia="Times New Roman" w:hAnsi="Calibri" w:cs="Calibri"/>
                <w:color w:val="000000"/>
                <w:lang w:eastAsia="it-IT"/>
              </w:rPr>
              <w:t>f) 50.001-100.000</w:t>
            </w:r>
          </w:p>
        </w:tc>
        <w:tc>
          <w:tcPr>
            <w:tcW w:w="1690" w:type="dxa"/>
            <w:noWrap/>
            <w:vAlign w:val="bottom"/>
            <w:hideMark/>
          </w:tcPr>
          <w:p w14:paraId="7F471341" w14:textId="77777777" w:rsidR="00045A24" w:rsidRPr="00E46710" w:rsidRDefault="00045A24" w:rsidP="004251A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it-IT"/>
              </w:rPr>
            </w:pPr>
            <w:r w:rsidRPr="00E46710">
              <w:rPr>
                <w:rFonts w:ascii="Calibri" w:hAnsi="Calibri"/>
                <w:b/>
                <w:color w:val="000000"/>
              </w:rPr>
              <w:t>205</w:t>
            </w:r>
          </w:p>
        </w:tc>
      </w:tr>
      <w:tr w:rsidR="00045A24" w:rsidRPr="007120EC" w14:paraId="0FF8CAE3" w14:textId="77777777" w:rsidTr="004251A3">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69629FE0" w14:textId="77777777" w:rsidR="00045A24" w:rsidRPr="007120EC" w:rsidRDefault="00045A24" w:rsidP="004251A3">
            <w:pPr>
              <w:rPr>
                <w:rFonts w:ascii="Calibri" w:eastAsia="Times New Roman" w:hAnsi="Calibri" w:cs="Calibri"/>
                <w:color w:val="000000"/>
                <w:lang w:eastAsia="it-IT"/>
              </w:rPr>
            </w:pPr>
            <w:r w:rsidRPr="007120EC">
              <w:rPr>
                <w:rFonts w:ascii="Calibri" w:eastAsia="Times New Roman" w:hAnsi="Calibri" w:cs="Calibri"/>
                <w:color w:val="000000"/>
                <w:lang w:eastAsia="it-IT"/>
              </w:rPr>
              <w:t>g) 100.001-200.000</w:t>
            </w:r>
          </w:p>
        </w:tc>
        <w:tc>
          <w:tcPr>
            <w:tcW w:w="1690" w:type="dxa"/>
            <w:noWrap/>
            <w:vAlign w:val="bottom"/>
            <w:hideMark/>
          </w:tcPr>
          <w:p w14:paraId="079C3DBA" w14:textId="77777777" w:rsidR="00045A24" w:rsidRPr="00E46710" w:rsidRDefault="00045A24" w:rsidP="004251A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it-IT"/>
              </w:rPr>
            </w:pPr>
            <w:r w:rsidRPr="00E46710">
              <w:rPr>
                <w:rFonts w:ascii="Calibri" w:hAnsi="Calibri"/>
                <w:b/>
                <w:color w:val="000000"/>
              </w:rPr>
              <w:t>210</w:t>
            </w:r>
          </w:p>
        </w:tc>
      </w:tr>
      <w:tr w:rsidR="00045A24" w:rsidRPr="007120EC" w14:paraId="13DC4FFC" w14:textId="77777777" w:rsidTr="004251A3">
        <w:trPr>
          <w:trHeight w:val="288"/>
          <w:jc w:val="center"/>
        </w:trPr>
        <w:tc>
          <w:tcPr>
            <w:cnfStyle w:val="001000000000" w:firstRow="0" w:lastRow="0" w:firstColumn="1" w:lastColumn="0" w:oddVBand="0" w:evenVBand="0" w:oddHBand="0" w:evenHBand="0" w:firstRowFirstColumn="0" w:firstRowLastColumn="0" w:lastRowFirstColumn="0" w:lastRowLastColumn="0"/>
            <w:tcW w:w="4460" w:type="dxa"/>
            <w:noWrap/>
            <w:hideMark/>
          </w:tcPr>
          <w:p w14:paraId="568C106C" w14:textId="77777777" w:rsidR="00045A24" w:rsidRPr="007120EC" w:rsidRDefault="00045A24" w:rsidP="004251A3">
            <w:pPr>
              <w:rPr>
                <w:rFonts w:ascii="Calibri" w:eastAsia="Times New Roman" w:hAnsi="Calibri" w:cs="Calibri"/>
                <w:color w:val="000000"/>
                <w:lang w:eastAsia="it-IT"/>
              </w:rPr>
            </w:pPr>
            <w:r w:rsidRPr="007120EC">
              <w:rPr>
                <w:rFonts w:ascii="Calibri" w:eastAsia="Times New Roman" w:hAnsi="Calibri" w:cs="Calibri"/>
                <w:color w:val="000000"/>
                <w:lang w:eastAsia="it-IT"/>
              </w:rPr>
              <w:t>h) &gt;200.000</w:t>
            </w:r>
          </w:p>
        </w:tc>
        <w:tc>
          <w:tcPr>
            <w:tcW w:w="1690" w:type="dxa"/>
            <w:noWrap/>
            <w:vAlign w:val="bottom"/>
            <w:hideMark/>
          </w:tcPr>
          <w:p w14:paraId="565EF4A5" w14:textId="77777777" w:rsidR="00045A24" w:rsidRPr="00E46710" w:rsidRDefault="00045A24" w:rsidP="004251A3">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it-IT"/>
              </w:rPr>
            </w:pPr>
            <w:r w:rsidRPr="00E46710">
              <w:rPr>
                <w:rFonts w:ascii="Calibri" w:hAnsi="Calibri"/>
                <w:b/>
                <w:color w:val="000000"/>
              </w:rPr>
              <w:t>313</w:t>
            </w:r>
          </w:p>
        </w:tc>
      </w:tr>
    </w:tbl>
    <w:p w14:paraId="05F53B8F" w14:textId="77777777" w:rsidR="00045A24" w:rsidRDefault="00045A24" w:rsidP="00045A24">
      <w:pPr>
        <w:rPr>
          <w:b/>
          <w:i/>
        </w:rPr>
      </w:pPr>
    </w:p>
    <w:p w14:paraId="2BFA9B97" w14:textId="77777777" w:rsidR="0099410E" w:rsidRDefault="0099410E" w:rsidP="0099410E">
      <w:r>
        <w:t xml:space="preserve">Per queste motivazioni, il parametro </w:t>
      </w:r>
      <w:r w:rsidRPr="00A20016">
        <w:t>γ</w:t>
      </w:r>
      <w:r>
        <w:rPr>
          <w:vertAlign w:val="subscript"/>
        </w:rPr>
        <w:t>2</w:t>
      </w:r>
      <w:r w:rsidRPr="00A20016">
        <w:t xml:space="preserve"> v</w:t>
      </w:r>
      <w:r>
        <w:t>iene scelto nel range corrispondente ad una valutazione soddisfacente della tabella:</w:t>
      </w:r>
    </w:p>
    <w:p w14:paraId="482FC400" w14:textId="77777777" w:rsidR="0099410E" w:rsidRDefault="0099410E" w:rsidP="0099410E"/>
    <w:p w14:paraId="6B7F0D2A" w14:textId="77777777" w:rsidR="0099410E" w:rsidRDefault="0099410E" w:rsidP="0099410E"/>
    <w:tbl>
      <w:tblPr>
        <w:tblW w:w="7230" w:type="dxa"/>
        <w:jc w:val="center"/>
        <w:tblCellMar>
          <w:left w:w="70" w:type="dxa"/>
          <w:right w:w="70" w:type="dxa"/>
        </w:tblCellMar>
        <w:tblLook w:val="04A0" w:firstRow="1" w:lastRow="0" w:firstColumn="1" w:lastColumn="0" w:noHBand="0" w:noVBand="1"/>
      </w:tblPr>
      <w:tblGrid>
        <w:gridCol w:w="618"/>
        <w:gridCol w:w="2568"/>
        <w:gridCol w:w="1776"/>
        <w:gridCol w:w="2268"/>
      </w:tblGrid>
      <w:tr w:rsidR="0099410E" w:rsidRPr="0099410E" w14:paraId="26FB9F18" w14:textId="77777777" w:rsidTr="0099410E">
        <w:trPr>
          <w:trHeight w:val="300"/>
          <w:jc w:val="center"/>
        </w:trPr>
        <w:tc>
          <w:tcPr>
            <w:tcW w:w="618" w:type="dxa"/>
            <w:tcBorders>
              <w:top w:val="nil"/>
              <w:left w:val="nil"/>
              <w:bottom w:val="nil"/>
              <w:right w:val="nil"/>
            </w:tcBorders>
            <w:shd w:val="clear" w:color="000000" w:fill="FFFFFF"/>
            <w:noWrap/>
            <w:vAlign w:val="bottom"/>
            <w:hideMark/>
          </w:tcPr>
          <w:p w14:paraId="0428E3F2" w14:textId="77777777" w:rsidR="0099410E" w:rsidRPr="0099410E" w:rsidRDefault="0099410E" w:rsidP="0099410E">
            <w:pPr>
              <w:jc w:val="center"/>
              <w:rPr>
                <w:rFonts w:ascii="Calibri" w:hAnsi="Calibri" w:cs="Calibri"/>
                <w:b/>
                <w:bCs/>
                <w:color w:val="000000"/>
                <w:sz w:val="22"/>
                <w:szCs w:val="22"/>
                <w:u w:val="single"/>
              </w:rPr>
            </w:pPr>
            <w:r w:rsidRPr="0099410E">
              <w:rPr>
                <w:rFonts w:ascii="Calibri" w:hAnsi="Calibri" w:cs="Calibri"/>
                <w:b/>
                <w:bCs/>
                <w:color w:val="000000"/>
                <w:sz w:val="22"/>
                <w:szCs w:val="22"/>
                <w:u w:val="single"/>
              </w:rPr>
              <w:t> </w:t>
            </w:r>
          </w:p>
        </w:tc>
        <w:tc>
          <w:tcPr>
            <w:tcW w:w="2568" w:type="dxa"/>
            <w:tcBorders>
              <w:top w:val="nil"/>
              <w:left w:val="nil"/>
              <w:bottom w:val="nil"/>
              <w:right w:val="nil"/>
            </w:tcBorders>
            <w:shd w:val="clear" w:color="000000" w:fill="FFFFFF"/>
            <w:noWrap/>
            <w:vAlign w:val="bottom"/>
            <w:hideMark/>
          </w:tcPr>
          <w:p w14:paraId="2FBD6CBE" w14:textId="77777777" w:rsidR="0099410E" w:rsidRPr="0099410E" w:rsidRDefault="0099410E" w:rsidP="0099410E">
            <w:pPr>
              <w:jc w:val="center"/>
              <w:rPr>
                <w:rFonts w:ascii="Calibri" w:hAnsi="Calibri" w:cs="Calibri"/>
                <w:b/>
                <w:bCs/>
                <w:color w:val="000000"/>
                <w:sz w:val="22"/>
                <w:szCs w:val="22"/>
                <w:u w:val="single"/>
              </w:rPr>
            </w:pPr>
            <w:r w:rsidRPr="0099410E">
              <w:rPr>
                <w:rFonts w:ascii="Calibri" w:hAnsi="Calibri" w:cs="Calibri"/>
                <w:b/>
                <w:bCs/>
                <w:color w:val="000000"/>
                <w:sz w:val="22"/>
                <w:szCs w:val="22"/>
                <w:u w:val="single"/>
              </w:rPr>
              <w:t> </w:t>
            </w:r>
          </w:p>
        </w:tc>
        <w:tc>
          <w:tcPr>
            <w:tcW w:w="1776" w:type="dxa"/>
            <w:tcBorders>
              <w:top w:val="single" w:sz="4" w:space="0" w:color="808080"/>
              <w:left w:val="single" w:sz="4" w:space="0" w:color="808080"/>
              <w:bottom w:val="single" w:sz="4" w:space="0" w:color="808080"/>
              <w:right w:val="single" w:sz="4" w:space="0" w:color="808080"/>
            </w:tcBorders>
            <w:shd w:val="clear" w:color="000000" w:fill="E7E6E6"/>
            <w:vAlign w:val="center"/>
            <w:hideMark/>
          </w:tcPr>
          <w:p w14:paraId="110186D9" w14:textId="77777777" w:rsidR="0099410E" w:rsidRPr="0099410E" w:rsidRDefault="0099410E" w:rsidP="0099410E">
            <w:pPr>
              <w:jc w:val="center"/>
              <w:rPr>
                <w:color w:val="000000"/>
                <w:sz w:val="20"/>
                <w:szCs w:val="20"/>
              </w:rPr>
            </w:pPr>
            <w:r w:rsidRPr="0099410E">
              <w:rPr>
                <w:color w:val="000000"/>
                <w:sz w:val="20"/>
                <w:szCs w:val="20"/>
              </w:rPr>
              <w:t>SODDISFACENTE</w:t>
            </w:r>
          </w:p>
        </w:tc>
        <w:tc>
          <w:tcPr>
            <w:tcW w:w="2268" w:type="dxa"/>
            <w:tcBorders>
              <w:top w:val="single" w:sz="4" w:space="0" w:color="808080"/>
              <w:left w:val="nil"/>
              <w:bottom w:val="single" w:sz="4" w:space="0" w:color="808080"/>
              <w:right w:val="single" w:sz="4" w:space="0" w:color="808080"/>
            </w:tcBorders>
            <w:shd w:val="clear" w:color="000000" w:fill="E7E6E6"/>
            <w:vAlign w:val="center"/>
            <w:hideMark/>
          </w:tcPr>
          <w:p w14:paraId="029EF3CD" w14:textId="77777777" w:rsidR="0099410E" w:rsidRPr="0099410E" w:rsidRDefault="0099410E" w:rsidP="0099410E">
            <w:pPr>
              <w:jc w:val="center"/>
              <w:rPr>
                <w:color w:val="000000"/>
                <w:sz w:val="20"/>
                <w:szCs w:val="20"/>
              </w:rPr>
            </w:pPr>
            <w:r w:rsidRPr="0099410E">
              <w:rPr>
                <w:color w:val="000000"/>
                <w:sz w:val="20"/>
                <w:szCs w:val="20"/>
              </w:rPr>
              <w:t>NON SODDISFACENTE</w:t>
            </w:r>
          </w:p>
        </w:tc>
      </w:tr>
      <w:tr w:rsidR="0099410E" w:rsidRPr="0099410E" w14:paraId="3AA337BC" w14:textId="77777777" w:rsidTr="0099410E">
        <w:trPr>
          <w:trHeight w:val="408"/>
          <w:jc w:val="center"/>
        </w:trPr>
        <w:tc>
          <w:tcPr>
            <w:tcW w:w="3186" w:type="dxa"/>
            <w:gridSpan w:val="2"/>
            <w:vMerge w:val="restart"/>
            <w:tcBorders>
              <w:top w:val="single" w:sz="4" w:space="0" w:color="808080"/>
              <w:left w:val="single" w:sz="4" w:space="0" w:color="808080"/>
              <w:bottom w:val="single" w:sz="4" w:space="0" w:color="808080"/>
              <w:right w:val="single" w:sz="4" w:space="0" w:color="808080"/>
            </w:tcBorders>
            <w:shd w:val="clear" w:color="000000" w:fill="E7E6E6"/>
            <w:vAlign w:val="center"/>
            <w:hideMark/>
          </w:tcPr>
          <w:p w14:paraId="1E13283A" w14:textId="77777777" w:rsidR="0099410E" w:rsidRPr="0099410E" w:rsidRDefault="0099410E" w:rsidP="0099410E">
            <w:pPr>
              <w:jc w:val="center"/>
              <w:rPr>
                <w:color w:val="000000"/>
                <w:sz w:val="20"/>
                <w:szCs w:val="20"/>
              </w:rPr>
            </w:pPr>
            <w:r w:rsidRPr="0099410E">
              <w:rPr>
                <w:color w:val="000000"/>
                <w:sz w:val="20"/>
                <w:szCs w:val="20"/>
              </w:rPr>
              <w:t>Valutazione in merito al livello di efficacia delle attività di preparazione per il riutilizzo e il riciclo (γ2,</w:t>
            </w:r>
            <w:r w:rsidRPr="0099410E">
              <w:rPr>
                <w:rFonts w:ascii="Cambria Math" w:hAnsi="Cambria Math" w:cs="Cambria Math"/>
                <w:color w:val="000000"/>
                <w:sz w:val="20"/>
                <w:szCs w:val="20"/>
              </w:rPr>
              <w:t>𝑎</w:t>
            </w:r>
            <w:r w:rsidRPr="0099410E">
              <w:rPr>
                <w:color w:val="000000"/>
                <w:sz w:val="20"/>
                <w:szCs w:val="20"/>
              </w:rPr>
              <w:t xml:space="preserve">) </w:t>
            </w:r>
          </w:p>
        </w:tc>
        <w:tc>
          <w:tcPr>
            <w:tcW w:w="1776" w:type="dxa"/>
            <w:vMerge w:val="restart"/>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FFAEEA4" w14:textId="77777777" w:rsidR="0099410E" w:rsidRPr="0099410E" w:rsidRDefault="0099410E" w:rsidP="0099410E">
            <w:pPr>
              <w:jc w:val="center"/>
              <w:rPr>
                <w:rFonts w:ascii="Calibri" w:hAnsi="Calibri" w:cs="Calibri"/>
                <w:color w:val="000000"/>
                <w:sz w:val="22"/>
                <w:szCs w:val="22"/>
              </w:rPr>
            </w:pPr>
            <w:r w:rsidRPr="0099410E">
              <w:rPr>
                <w:rFonts w:ascii="Calibri" w:hAnsi="Calibri" w:cs="Calibri"/>
                <w:color w:val="000000"/>
                <w:sz w:val="22"/>
                <w:szCs w:val="22"/>
              </w:rPr>
              <w:t>-0,15 &lt; γ2 ≤ 0</w:t>
            </w:r>
          </w:p>
        </w:tc>
        <w:tc>
          <w:tcPr>
            <w:tcW w:w="2268" w:type="dxa"/>
            <w:vMerge w:val="restart"/>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8A204E9" w14:textId="77777777" w:rsidR="0099410E" w:rsidRPr="0099410E" w:rsidRDefault="0099410E" w:rsidP="0099410E">
            <w:pPr>
              <w:jc w:val="center"/>
              <w:rPr>
                <w:rFonts w:ascii="Calibri" w:hAnsi="Calibri" w:cs="Calibri"/>
                <w:color w:val="000000"/>
                <w:sz w:val="22"/>
                <w:szCs w:val="22"/>
              </w:rPr>
            </w:pPr>
            <w:r w:rsidRPr="0099410E">
              <w:rPr>
                <w:rFonts w:ascii="Calibri" w:hAnsi="Calibri" w:cs="Calibri"/>
                <w:color w:val="000000"/>
                <w:sz w:val="22"/>
                <w:szCs w:val="22"/>
              </w:rPr>
              <w:t>-0,3 ≤ γ2 ≤ -0,15</w:t>
            </w:r>
          </w:p>
        </w:tc>
      </w:tr>
      <w:tr w:rsidR="0099410E" w:rsidRPr="0099410E" w14:paraId="5686E63E" w14:textId="77777777" w:rsidTr="0099410E">
        <w:trPr>
          <w:trHeight w:val="408"/>
          <w:jc w:val="center"/>
        </w:trPr>
        <w:tc>
          <w:tcPr>
            <w:tcW w:w="3186" w:type="dxa"/>
            <w:gridSpan w:val="2"/>
            <w:vMerge/>
            <w:tcBorders>
              <w:top w:val="single" w:sz="4" w:space="0" w:color="808080"/>
              <w:left w:val="single" w:sz="4" w:space="0" w:color="808080"/>
              <w:bottom w:val="single" w:sz="4" w:space="0" w:color="808080"/>
              <w:right w:val="single" w:sz="4" w:space="0" w:color="808080"/>
            </w:tcBorders>
            <w:vAlign w:val="center"/>
            <w:hideMark/>
          </w:tcPr>
          <w:p w14:paraId="229E0004" w14:textId="77777777" w:rsidR="0099410E" w:rsidRPr="0099410E" w:rsidRDefault="0099410E" w:rsidP="0099410E">
            <w:pPr>
              <w:jc w:val="left"/>
              <w:rPr>
                <w:color w:val="000000"/>
                <w:sz w:val="20"/>
                <w:szCs w:val="20"/>
              </w:rPr>
            </w:pPr>
          </w:p>
        </w:tc>
        <w:tc>
          <w:tcPr>
            <w:tcW w:w="1776" w:type="dxa"/>
            <w:vMerge/>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2734F54" w14:textId="77777777" w:rsidR="0099410E" w:rsidRPr="0099410E" w:rsidRDefault="0099410E" w:rsidP="0099410E">
            <w:pPr>
              <w:jc w:val="left"/>
              <w:rPr>
                <w:rFonts w:ascii="Calibri" w:hAnsi="Calibri" w:cs="Calibri"/>
                <w:color w:val="000000"/>
                <w:sz w:val="22"/>
                <w:szCs w:val="22"/>
              </w:rPr>
            </w:pPr>
          </w:p>
        </w:tc>
        <w:tc>
          <w:tcPr>
            <w:tcW w:w="2268" w:type="dxa"/>
            <w:vMerge/>
            <w:tcBorders>
              <w:top w:val="single" w:sz="4" w:space="0" w:color="808080"/>
              <w:left w:val="single" w:sz="4" w:space="0" w:color="808080"/>
              <w:bottom w:val="single" w:sz="4" w:space="0" w:color="808080"/>
              <w:right w:val="single" w:sz="4" w:space="0" w:color="808080"/>
            </w:tcBorders>
            <w:vAlign w:val="center"/>
            <w:hideMark/>
          </w:tcPr>
          <w:p w14:paraId="3CB713FF" w14:textId="77777777" w:rsidR="0099410E" w:rsidRPr="0099410E" w:rsidRDefault="0099410E" w:rsidP="0099410E">
            <w:pPr>
              <w:jc w:val="left"/>
              <w:rPr>
                <w:rFonts w:ascii="Calibri" w:hAnsi="Calibri" w:cs="Calibri"/>
                <w:color w:val="000000"/>
                <w:sz w:val="22"/>
                <w:szCs w:val="22"/>
              </w:rPr>
            </w:pPr>
          </w:p>
        </w:tc>
      </w:tr>
      <w:tr w:rsidR="0099410E" w:rsidRPr="0099410E" w14:paraId="39D4F06E" w14:textId="77777777" w:rsidTr="0099410E">
        <w:trPr>
          <w:trHeight w:val="408"/>
          <w:jc w:val="center"/>
        </w:trPr>
        <w:tc>
          <w:tcPr>
            <w:tcW w:w="3186" w:type="dxa"/>
            <w:gridSpan w:val="2"/>
            <w:vMerge/>
            <w:tcBorders>
              <w:top w:val="single" w:sz="4" w:space="0" w:color="808080"/>
              <w:left w:val="single" w:sz="4" w:space="0" w:color="808080"/>
              <w:bottom w:val="single" w:sz="4" w:space="0" w:color="808080"/>
              <w:right w:val="single" w:sz="4" w:space="0" w:color="808080"/>
            </w:tcBorders>
            <w:vAlign w:val="center"/>
            <w:hideMark/>
          </w:tcPr>
          <w:p w14:paraId="103BB2BE" w14:textId="77777777" w:rsidR="0099410E" w:rsidRPr="0099410E" w:rsidRDefault="0099410E" w:rsidP="0099410E">
            <w:pPr>
              <w:jc w:val="left"/>
              <w:rPr>
                <w:color w:val="000000"/>
                <w:sz w:val="20"/>
                <w:szCs w:val="20"/>
              </w:rPr>
            </w:pPr>
          </w:p>
        </w:tc>
        <w:tc>
          <w:tcPr>
            <w:tcW w:w="1776" w:type="dxa"/>
            <w:vMerge/>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D44CACF" w14:textId="77777777" w:rsidR="0099410E" w:rsidRPr="0099410E" w:rsidRDefault="0099410E" w:rsidP="0099410E">
            <w:pPr>
              <w:jc w:val="left"/>
              <w:rPr>
                <w:rFonts w:ascii="Calibri" w:hAnsi="Calibri" w:cs="Calibri"/>
                <w:color w:val="000000"/>
                <w:sz w:val="22"/>
                <w:szCs w:val="22"/>
              </w:rPr>
            </w:pPr>
          </w:p>
        </w:tc>
        <w:tc>
          <w:tcPr>
            <w:tcW w:w="2268" w:type="dxa"/>
            <w:vMerge/>
            <w:tcBorders>
              <w:top w:val="single" w:sz="4" w:space="0" w:color="808080"/>
              <w:left w:val="single" w:sz="4" w:space="0" w:color="808080"/>
              <w:bottom w:val="single" w:sz="4" w:space="0" w:color="808080"/>
              <w:right w:val="single" w:sz="4" w:space="0" w:color="808080"/>
            </w:tcBorders>
            <w:vAlign w:val="center"/>
            <w:hideMark/>
          </w:tcPr>
          <w:p w14:paraId="33255259" w14:textId="77777777" w:rsidR="0099410E" w:rsidRPr="0099410E" w:rsidRDefault="0099410E" w:rsidP="0099410E">
            <w:pPr>
              <w:jc w:val="left"/>
              <w:rPr>
                <w:rFonts w:ascii="Calibri" w:hAnsi="Calibri" w:cs="Calibri"/>
                <w:color w:val="000000"/>
                <w:sz w:val="22"/>
                <w:szCs w:val="22"/>
              </w:rPr>
            </w:pPr>
          </w:p>
        </w:tc>
      </w:tr>
    </w:tbl>
    <w:p w14:paraId="39188C78" w14:textId="77777777" w:rsidR="0099410E" w:rsidRDefault="0099410E" w:rsidP="0099410E"/>
    <w:p w14:paraId="7DD1AFA2" w14:textId="77777777" w:rsidR="0099410E" w:rsidRDefault="0099410E" w:rsidP="0099410E">
      <w:r>
        <w:t xml:space="preserve">e valorizzato al valore medio per tutti i 4 anni 2022-2025: </w:t>
      </w:r>
      <w:r w:rsidRPr="0099410E">
        <w:rPr>
          <w:b/>
          <w:bCs/>
        </w:rPr>
        <w:t>ɣ</w:t>
      </w:r>
      <w:r>
        <w:rPr>
          <w:b/>
          <w:bCs/>
        </w:rPr>
        <w:t>2</w:t>
      </w:r>
      <w:r w:rsidRPr="0099410E">
        <w:rPr>
          <w:b/>
          <w:bCs/>
        </w:rPr>
        <w:t xml:space="preserve"> = -0,</w:t>
      </w:r>
      <w:r>
        <w:rPr>
          <w:b/>
          <w:bCs/>
        </w:rPr>
        <w:t>075</w:t>
      </w:r>
      <w:r>
        <w:t>.</w:t>
      </w:r>
    </w:p>
    <w:p w14:paraId="704BC419" w14:textId="77777777" w:rsidR="0099410E" w:rsidRDefault="0099410E" w:rsidP="0099410E"/>
    <w:p w14:paraId="25AEE2CD" w14:textId="77777777" w:rsidR="00181369" w:rsidRDefault="00181369" w:rsidP="0099410E"/>
    <w:p w14:paraId="413FA5B8" w14:textId="77777777" w:rsidR="00181369" w:rsidRPr="001D2CAE" w:rsidRDefault="00181369" w:rsidP="0099410E">
      <w:r>
        <w:t xml:space="preserve">Per quanto sopra riportato, i parametri </w:t>
      </w:r>
      <w:r w:rsidRPr="0099410E">
        <w:rPr>
          <w:b/>
          <w:bCs/>
        </w:rPr>
        <w:t>ɣ</w:t>
      </w:r>
      <w:r>
        <w:t xml:space="preserve"> e 1+</w:t>
      </w:r>
      <w:r w:rsidRPr="0099410E">
        <w:rPr>
          <w:b/>
          <w:bCs/>
        </w:rPr>
        <w:t>ɣ</w:t>
      </w:r>
      <w:r w:rsidRPr="00181369">
        <w:t xml:space="preserve"> assumono </w:t>
      </w:r>
      <w:r w:rsidR="00236ED6">
        <w:t>(</w:t>
      </w:r>
      <w:r w:rsidR="00236ED6" w:rsidRPr="00236ED6">
        <w:t>per tutti i 4 anni 2022-2025</w:t>
      </w:r>
      <w:r w:rsidR="00236ED6">
        <w:t xml:space="preserve">) </w:t>
      </w:r>
      <w:r w:rsidRPr="00181369">
        <w:t>rispettivamente i valori di -0,175 e 0,825</w:t>
      </w:r>
      <w:r>
        <w:rPr>
          <w:b/>
          <w:bCs/>
        </w:rPr>
        <w:t>.</w:t>
      </w:r>
    </w:p>
    <w:p w14:paraId="41C5561D" w14:textId="77777777" w:rsidR="0099410E" w:rsidRDefault="0099410E" w:rsidP="00045A24">
      <w:pPr>
        <w:rPr>
          <w:b/>
          <w:i/>
        </w:rPr>
      </w:pPr>
    </w:p>
    <w:p w14:paraId="4A85814F" w14:textId="77777777" w:rsidR="00181369" w:rsidRPr="00BE03E9" w:rsidRDefault="00BE03E9" w:rsidP="00045A24">
      <w:pPr>
        <w:rPr>
          <w:b/>
          <w:i/>
        </w:rPr>
      </w:pPr>
      <w:r w:rsidRPr="00BE03E9">
        <w:t xml:space="preserve">La determinazione del coefficiente di recupero di produttività </w:t>
      </w:r>
      <w:r w:rsidRPr="00BE03E9">
        <w:rPr>
          <w:rFonts w:ascii="Cambria Math" w:hAnsi="Cambria Math" w:cs="Cambria Math"/>
        </w:rPr>
        <w:t>𝑋𝑎</w:t>
      </w:r>
      <w:r w:rsidRPr="00BE03E9">
        <w:t xml:space="preserve"> è </w:t>
      </w:r>
      <w:r>
        <w:t xml:space="preserve">infine </w:t>
      </w:r>
      <w:r w:rsidRPr="00BE03E9">
        <w:t>effettuata dall’Ente territorialmente competente nei limiti riportati nella successiva tabella:</w:t>
      </w:r>
    </w:p>
    <w:p w14:paraId="7EBE8751" w14:textId="77777777" w:rsidR="00181369" w:rsidRPr="00BE03E9" w:rsidRDefault="00181369" w:rsidP="00045A24">
      <w:pPr>
        <w:rPr>
          <w:b/>
          <w:i/>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1974"/>
        <w:gridCol w:w="2511"/>
        <w:gridCol w:w="2552"/>
      </w:tblGrid>
      <w:tr w:rsidR="00236ED6" w:rsidRPr="00236ED6" w14:paraId="733BD87E" w14:textId="77777777" w:rsidTr="00236ED6">
        <w:trPr>
          <w:trHeight w:val="598"/>
          <w:jc w:val="center"/>
        </w:trPr>
        <w:tc>
          <w:tcPr>
            <w:tcW w:w="2592" w:type="dxa"/>
            <w:gridSpan w:val="2"/>
            <w:shd w:val="clear" w:color="000000" w:fill="FFFFFF"/>
            <w:noWrap/>
            <w:vAlign w:val="bottom"/>
          </w:tcPr>
          <w:p w14:paraId="6E5A2389" w14:textId="77777777" w:rsidR="00236ED6" w:rsidRPr="00236ED6" w:rsidRDefault="00236ED6" w:rsidP="00236ED6">
            <w:pPr>
              <w:jc w:val="center"/>
              <w:rPr>
                <w:rFonts w:ascii="Calibri" w:hAnsi="Calibri" w:cs="Calibri"/>
                <w:b/>
                <w:bCs/>
                <w:color w:val="000000"/>
                <w:sz w:val="22"/>
                <w:szCs w:val="22"/>
                <w:u w:val="single"/>
              </w:rPr>
            </w:pPr>
          </w:p>
        </w:tc>
        <w:tc>
          <w:tcPr>
            <w:tcW w:w="2511" w:type="dxa"/>
            <w:shd w:val="clear" w:color="000000" w:fill="E7E6E6"/>
            <w:vAlign w:val="center"/>
            <w:hideMark/>
          </w:tcPr>
          <w:p w14:paraId="13123B61" w14:textId="77777777" w:rsidR="00236ED6" w:rsidRPr="00236ED6" w:rsidRDefault="00236ED6" w:rsidP="00236ED6">
            <w:pPr>
              <w:jc w:val="center"/>
              <w:rPr>
                <w:i/>
                <w:iCs/>
                <w:color w:val="000000"/>
              </w:rPr>
            </w:pPr>
            <w:r w:rsidRPr="00236ED6">
              <w:rPr>
                <w:i/>
                <w:iCs/>
                <w:color w:val="000000"/>
              </w:rPr>
              <w:t>Cueff  &gt; Benchmark</w:t>
            </w:r>
          </w:p>
        </w:tc>
        <w:tc>
          <w:tcPr>
            <w:tcW w:w="2552" w:type="dxa"/>
            <w:shd w:val="clear" w:color="000000" w:fill="E7E6E6"/>
            <w:vAlign w:val="center"/>
            <w:hideMark/>
          </w:tcPr>
          <w:p w14:paraId="3D7CAE69" w14:textId="77777777" w:rsidR="00236ED6" w:rsidRPr="00236ED6" w:rsidRDefault="00236ED6" w:rsidP="00236ED6">
            <w:pPr>
              <w:jc w:val="center"/>
              <w:rPr>
                <w:i/>
                <w:iCs/>
                <w:color w:val="000000"/>
              </w:rPr>
            </w:pPr>
            <w:r w:rsidRPr="00236ED6">
              <w:rPr>
                <w:i/>
                <w:iCs/>
                <w:color w:val="000000"/>
              </w:rPr>
              <w:t xml:space="preserve">Cueff  </w:t>
            </w:r>
            <w:r w:rsidRPr="00236ED6">
              <w:rPr>
                <w:rFonts w:ascii="Calibri" w:hAnsi="Calibri" w:cs="Calibri"/>
                <w:color w:val="000000"/>
              </w:rPr>
              <w:t>≤</w:t>
            </w:r>
            <w:r w:rsidRPr="00236ED6">
              <w:rPr>
                <w:i/>
                <w:iCs/>
                <w:color w:val="000000"/>
              </w:rPr>
              <w:t xml:space="preserve"> Benchmark</w:t>
            </w:r>
          </w:p>
        </w:tc>
      </w:tr>
      <w:tr w:rsidR="00236ED6" w:rsidRPr="00236ED6" w14:paraId="54CEE9E2" w14:textId="77777777" w:rsidTr="00236ED6">
        <w:trPr>
          <w:trHeight w:val="300"/>
          <w:jc w:val="center"/>
        </w:trPr>
        <w:tc>
          <w:tcPr>
            <w:tcW w:w="618" w:type="dxa"/>
            <w:vMerge w:val="restart"/>
            <w:shd w:val="clear" w:color="000000" w:fill="E7E6E6"/>
            <w:textDirection w:val="btLr"/>
            <w:vAlign w:val="center"/>
            <w:hideMark/>
          </w:tcPr>
          <w:p w14:paraId="59ED5E9F" w14:textId="77777777" w:rsidR="00236ED6" w:rsidRPr="00236ED6" w:rsidRDefault="00236ED6" w:rsidP="00236ED6">
            <w:pPr>
              <w:jc w:val="center"/>
              <w:rPr>
                <w:b/>
                <w:bCs/>
                <w:color w:val="000000"/>
                <w:sz w:val="16"/>
                <w:szCs w:val="16"/>
              </w:rPr>
            </w:pPr>
            <w:r w:rsidRPr="00236ED6">
              <w:rPr>
                <w:b/>
                <w:bCs/>
                <w:color w:val="000000"/>
                <w:sz w:val="16"/>
                <w:szCs w:val="16"/>
              </w:rPr>
              <w:t xml:space="preserve">QUALITÀ AMBIENTALE DELLE </w:t>
            </w:r>
            <w:r w:rsidRPr="00236ED6">
              <w:rPr>
                <w:b/>
                <w:bCs/>
                <w:color w:val="000000"/>
                <w:sz w:val="16"/>
                <w:szCs w:val="16"/>
              </w:rPr>
              <w:br/>
              <w:t>PRESTAZIONI</w:t>
            </w:r>
          </w:p>
        </w:tc>
        <w:tc>
          <w:tcPr>
            <w:tcW w:w="1974" w:type="dxa"/>
            <w:vMerge w:val="restart"/>
            <w:shd w:val="clear" w:color="000000" w:fill="E7E6E6"/>
            <w:vAlign w:val="center"/>
            <w:hideMark/>
          </w:tcPr>
          <w:p w14:paraId="0253D58E" w14:textId="77777777" w:rsidR="00236ED6" w:rsidRPr="00236ED6" w:rsidRDefault="00236ED6" w:rsidP="00236ED6">
            <w:pPr>
              <w:jc w:val="left"/>
              <w:rPr>
                <w:color w:val="000000"/>
                <w:sz w:val="20"/>
                <w:szCs w:val="20"/>
              </w:rPr>
            </w:pPr>
            <w:r w:rsidRPr="00236ED6">
              <w:rPr>
                <w:color w:val="000000"/>
                <w:sz w:val="20"/>
                <w:szCs w:val="20"/>
              </w:rPr>
              <w:t xml:space="preserve">LIVELLO INSODDISFACENTE </w:t>
            </w:r>
            <w:r w:rsidRPr="00236ED6">
              <w:rPr>
                <w:color w:val="000000"/>
                <w:sz w:val="20"/>
                <w:szCs w:val="20"/>
              </w:rPr>
              <w:lastRenderedPageBreak/>
              <w:t>O INTERMEDIO</w:t>
            </w:r>
            <w:r w:rsidRPr="00236ED6">
              <w:rPr>
                <w:color w:val="000000"/>
                <w:sz w:val="20"/>
                <w:szCs w:val="20"/>
              </w:rPr>
              <w:br/>
              <w:t>(1+ɣ</w:t>
            </w:r>
            <w:r w:rsidRPr="00236ED6">
              <w:rPr>
                <w:color w:val="000000"/>
                <w:sz w:val="20"/>
                <w:szCs w:val="20"/>
                <w:vertAlign w:val="subscript"/>
              </w:rPr>
              <w:t>a</w:t>
            </w:r>
            <w:r w:rsidRPr="00236ED6">
              <w:rPr>
                <w:color w:val="000000"/>
                <w:sz w:val="20"/>
                <w:szCs w:val="20"/>
              </w:rPr>
              <w:t xml:space="preserve">) </w:t>
            </w:r>
            <w:r w:rsidRPr="00236ED6">
              <w:rPr>
                <w:rFonts w:ascii="Calibri" w:hAnsi="Calibri" w:cs="Calibri"/>
                <w:color w:val="000000"/>
                <w:sz w:val="20"/>
                <w:szCs w:val="20"/>
              </w:rPr>
              <w:t>≤</w:t>
            </w:r>
            <w:r w:rsidRPr="00236ED6">
              <w:rPr>
                <w:color w:val="000000"/>
                <w:sz w:val="20"/>
                <w:szCs w:val="20"/>
              </w:rPr>
              <w:t xml:space="preserve"> 0,5</w:t>
            </w:r>
          </w:p>
        </w:tc>
        <w:tc>
          <w:tcPr>
            <w:tcW w:w="2511" w:type="dxa"/>
            <w:vMerge w:val="restart"/>
            <w:shd w:val="clear" w:color="auto" w:fill="auto"/>
            <w:vAlign w:val="center"/>
            <w:hideMark/>
          </w:tcPr>
          <w:p w14:paraId="65344941" w14:textId="77777777" w:rsidR="00236ED6" w:rsidRPr="00236ED6" w:rsidRDefault="00236ED6" w:rsidP="00236ED6">
            <w:pPr>
              <w:jc w:val="left"/>
              <w:rPr>
                <w:color w:val="000000"/>
                <w:sz w:val="22"/>
                <w:szCs w:val="22"/>
              </w:rPr>
            </w:pPr>
            <w:r w:rsidRPr="00236ED6">
              <w:rPr>
                <w:color w:val="000000"/>
                <w:sz w:val="22"/>
                <w:szCs w:val="22"/>
              </w:rPr>
              <w:lastRenderedPageBreak/>
              <w:t xml:space="preserve"> </w:t>
            </w:r>
            <w:r w:rsidRPr="00236ED6">
              <w:rPr>
                <w:color w:val="2F75B5"/>
                <w:sz w:val="22"/>
                <w:szCs w:val="22"/>
              </w:rPr>
              <w:t>Fattore di recupero di produttività:</w:t>
            </w:r>
            <w:r w:rsidRPr="00236ED6">
              <w:rPr>
                <w:color w:val="2F75B5"/>
                <w:sz w:val="22"/>
                <w:szCs w:val="22"/>
              </w:rPr>
              <w:br/>
            </w:r>
            <w:r w:rsidRPr="00236ED6">
              <w:rPr>
                <w:color w:val="000000"/>
                <w:sz w:val="22"/>
                <w:szCs w:val="22"/>
              </w:rPr>
              <w:t xml:space="preserve">            0,3% &lt; X</w:t>
            </w:r>
            <w:r w:rsidRPr="00236ED6">
              <w:rPr>
                <w:color w:val="000000"/>
                <w:sz w:val="22"/>
                <w:szCs w:val="22"/>
                <w:vertAlign w:val="subscript"/>
              </w:rPr>
              <w:t>a</w:t>
            </w:r>
            <w:r w:rsidRPr="00236ED6">
              <w:rPr>
                <w:color w:val="000000"/>
                <w:sz w:val="22"/>
                <w:szCs w:val="22"/>
              </w:rPr>
              <w:t xml:space="preserve"> </w:t>
            </w:r>
            <w:r w:rsidRPr="00236ED6">
              <w:rPr>
                <w:rFonts w:ascii="Calibri" w:hAnsi="Calibri" w:cs="Calibri"/>
                <w:color w:val="000000"/>
                <w:sz w:val="22"/>
                <w:szCs w:val="22"/>
              </w:rPr>
              <w:t>≤</w:t>
            </w:r>
            <w:r w:rsidRPr="00236ED6">
              <w:rPr>
                <w:color w:val="000000"/>
                <w:sz w:val="22"/>
                <w:szCs w:val="22"/>
              </w:rPr>
              <w:t xml:space="preserve"> 0,5%</w:t>
            </w:r>
          </w:p>
        </w:tc>
        <w:tc>
          <w:tcPr>
            <w:tcW w:w="2552" w:type="dxa"/>
            <w:vMerge w:val="restart"/>
            <w:shd w:val="clear" w:color="auto" w:fill="auto"/>
            <w:vAlign w:val="center"/>
            <w:hideMark/>
          </w:tcPr>
          <w:p w14:paraId="21EB23F3" w14:textId="77777777" w:rsidR="00236ED6" w:rsidRPr="00236ED6" w:rsidRDefault="00236ED6" w:rsidP="00236ED6">
            <w:pPr>
              <w:jc w:val="left"/>
              <w:rPr>
                <w:color w:val="000000"/>
                <w:sz w:val="22"/>
                <w:szCs w:val="22"/>
              </w:rPr>
            </w:pPr>
            <w:r w:rsidRPr="00236ED6">
              <w:rPr>
                <w:color w:val="000000"/>
                <w:sz w:val="22"/>
                <w:szCs w:val="22"/>
              </w:rPr>
              <w:t xml:space="preserve"> </w:t>
            </w:r>
            <w:r w:rsidRPr="00236ED6">
              <w:rPr>
                <w:color w:val="2F75B5"/>
                <w:sz w:val="22"/>
                <w:szCs w:val="22"/>
              </w:rPr>
              <w:t>Fattore di recupero di produttività:</w:t>
            </w:r>
            <w:r w:rsidRPr="00236ED6">
              <w:rPr>
                <w:color w:val="2F75B5"/>
                <w:sz w:val="22"/>
                <w:szCs w:val="22"/>
              </w:rPr>
              <w:br/>
            </w:r>
            <w:r w:rsidRPr="00236ED6">
              <w:rPr>
                <w:color w:val="000000"/>
                <w:sz w:val="22"/>
                <w:szCs w:val="22"/>
              </w:rPr>
              <w:t xml:space="preserve">            0,1% &lt; X</w:t>
            </w:r>
            <w:r w:rsidRPr="00236ED6">
              <w:rPr>
                <w:color w:val="000000"/>
                <w:sz w:val="22"/>
                <w:szCs w:val="22"/>
                <w:vertAlign w:val="subscript"/>
              </w:rPr>
              <w:t>a</w:t>
            </w:r>
            <w:r w:rsidRPr="00236ED6">
              <w:rPr>
                <w:color w:val="000000"/>
                <w:sz w:val="22"/>
                <w:szCs w:val="22"/>
              </w:rPr>
              <w:t xml:space="preserve"> ≤ 0,3%</w:t>
            </w:r>
          </w:p>
        </w:tc>
      </w:tr>
      <w:tr w:rsidR="00236ED6" w:rsidRPr="00236ED6" w14:paraId="21E85B4D" w14:textId="77777777" w:rsidTr="00236ED6">
        <w:trPr>
          <w:trHeight w:val="288"/>
          <w:jc w:val="center"/>
        </w:trPr>
        <w:tc>
          <w:tcPr>
            <w:tcW w:w="618" w:type="dxa"/>
            <w:vMerge/>
            <w:vAlign w:val="center"/>
            <w:hideMark/>
          </w:tcPr>
          <w:p w14:paraId="20EF5D51" w14:textId="77777777" w:rsidR="00236ED6" w:rsidRPr="00236ED6" w:rsidRDefault="00236ED6" w:rsidP="00236ED6">
            <w:pPr>
              <w:jc w:val="left"/>
              <w:rPr>
                <w:b/>
                <w:bCs/>
                <w:color w:val="000000"/>
                <w:sz w:val="16"/>
                <w:szCs w:val="16"/>
              </w:rPr>
            </w:pPr>
          </w:p>
        </w:tc>
        <w:tc>
          <w:tcPr>
            <w:tcW w:w="1974" w:type="dxa"/>
            <w:vMerge/>
            <w:vAlign w:val="center"/>
            <w:hideMark/>
          </w:tcPr>
          <w:p w14:paraId="19DBBA94" w14:textId="77777777" w:rsidR="00236ED6" w:rsidRPr="00236ED6" w:rsidRDefault="00236ED6" w:rsidP="00236ED6">
            <w:pPr>
              <w:jc w:val="left"/>
              <w:rPr>
                <w:color w:val="000000"/>
                <w:sz w:val="20"/>
                <w:szCs w:val="20"/>
              </w:rPr>
            </w:pPr>
          </w:p>
        </w:tc>
        <w:tc>
          <w:tcPr>
            <w:tcW w:w="2511" w:type="dxa"/>
            <w:vMerge/>
            <w:vAlign w:val="center"/>
            <w:hideMark/>
          </w:tcPr>
          <w:p w14:paraId="1D91848D" w14:textId="77777777" w:rsidR="00236ED6" w:rsidRPr="00236ED6" w:rsidRDefault="00236ED6" w:rsidP="00236ED6">
            <w:pPr>
              <w:jc w:val="left"/>
              <w:rPr>
                <w:color w:val="000000"/>
                <w:sz w:val="22"/>
                <w:szCs w:val="22"/>
              </w:rPr>
            </w:pPr>
          </w:p>
        </w:tc>
        <w:tc>
          <w:tcPr>
            <w:tcW w:w="2552" w:type="dxa"/>
            <w:vMerge/>
            <w:vAlign w:val="center"/>
            <w:hideMark/>
          </w:tcPr>
          <w:p w14:paraId="7296E551" w14:textId="77777777" w:rsidR="00236ED6" w:rsidRPr="00236ED6" w:rsidRDefault="00236ED6" w:rsidP="00236ED6">
            <w:pPr>
              <w:jc w:val="left"/>
              <w:rPr>
                <w:color w:val="000000"/>
                <w:sz w:val="22"/>
                <w:szCs w:val="22"/>
              </w:rPr>
            </w:pPr>
          </w:p>
        </w:tc>
      </w:tr>
      <w:tr w:rsidR="00236ED6" w:rsidRPr="00236ED6" w14:paraId="7193CCBA" w14:textId="77777777" w:rsidTr="00236ED6">
        <w:trPr>
          <w:trHeight w:val="288"/>
          <w:jc w:val="center"/>
        </w:trPr>
        <w:tc>
          <w:tcPr>
            <w:tcW w:w="618" w:type="dxa"/>
            <w:vMerge/>
            <w:vAlign w:val="center"/>
            <w:hideMark/>
          </w:tcPr>
          <w:p w14:paraId="6A034AA6" w14:textId="77777777" w:rsidR="00236ED6" w:rsidRPr="00236ED6" w:rsidRDefault="00236ED6" w:rsidP="00236ED6">
            <w:pPr>
              <w:jc w:val="left"/>
              <w:rPr>
                <w:b/>
                <w:bCs/>
                <w:color w:val="000000"/>
                <w:sz w:val="16"/>
                <w:szCs w:val="16"/>
              </w:rPr>
            </w:pPr>
          </w:p>
        </w:tc>
        <w:tc>
          <w:tcPr>
            <w:tcW w:w="1974" w:type="dxa"/>
            <w:vMerge/>
            <w:vAlign w:val="center"/>
            <w:hideMark/>
          </w:tcPr>
          <w:p w14:paraId="1B53AC8E" w14:textId="77777777" w:rsidR="00236ED6" w:rsidRPr="00236ED6" w:rsidRDefault="00236ED6" w:rsidP="00236ED6">
            <w:pPr>
              <w:jc w:val="left"/>
              <w:rPr>
                <w:color w:val="000000"/>
                <w:sz w:val="20"/>
                <w:szCs w:val="20"/>
              </w:rPr>
            </w:pPr>
          </w:p>
        </w:tc>
        <w:tc>
          <w:tcPr>
            <w:tcW w:w="2511" w:type="dxa"/>
            <w:vMerge/>
            <w:vAlign w:val="center"/>
            <w:hideMark/>
          </w:tcPr>
          <w:p w14:paraId="740F8CCA" w14:textId="77777777" w:rsidR="00236ED6" w:rsidRPr="00236ED6" w:rsidRDefault="00236ED6" w:rsidP="00236ED6">
            <w:pPr>
              <w:jc w:val="left"/>
              <w:rPr>
                <w:color w:val="000000"/>
                <w:sz w:val="22"/>
                <w:szCs w:val="22"/>
              </w:rPr>
            </w:pPr>
          </w:p>
        </w:tc>
        <w:tc>
          <w:tcPr>
            <w:tcW w:w="2552" w:type="dxa"/>
            <w:vMerge/>
            <w:vAlign w:val="center"/>
            <w:hideMark/>
          </w:tcPr>
          <w:p w14:paraId="13990CFC" w14:textId="77777777" w:rsidR="00236ED6" w:rsidRPr="00236ED6" w:rsidRDefault="00236ED6" w:rsidP="00236ED6">
            <w:pPr>
              <w:jc w:val="left"/>
              <w:rPr>
                <w:color w:val="000000"/>
                <w:sz w:val="22"/>
                <w:szCs w:val="22"/>
              </w:rPr>
            </w:pPr>
          </w:p>
        </w:tc>
      </w:tr>
      <w:tr w:rsidR="00236ED6" w:rsidRPr="00236ED6" w14:paraId="4B4D65D3" w14:textId="77777777" w:rsidTr="00236ED6">
        <w:trPr>
          <w:trHeight w:val="288"/>
          <w:jc w:val="center"/>
        </w:trPr>
        <w:tc>
          <w:tcPr>
            <w:tcW w:w="618" w:type="dxa"/>
            <w:vMerge/>
            <w:vAlign w:val="center"/>
            <w:hideMark/>
          </w:tcPr>
          <w:p w14:paraId="4E21E9B7" w14:textId="77777777" w:rsidR="00236ED6" w:rsidRPr="00236ED6" w:rsidRDefault="00236ED6" w:rsidP="00236ED6">
            <w:pPr>
              <w:jc w:val="left"/>
              <w:rPr>
                <w:b/>
                <w:bCs/>
                <w:color w:val="000000"/>
                <w:sz w:val="16"/>
                <w:szCs w:val="16"/>
              </w:rPr>
            </w:pPr>
          </w:p>
        </w:tc>
        <w:tc>
          <w:tcPr>
            <w:tcW w:w="1974" w:type="dxa"/>
            <w:vMerge/>
            <w:vAlign w:val="center"/>
            <w:hideMark/>
          </w:tcPr>
          <w:p w14:paraId="060FEBEC" w14:textId="77777777" w:rsidR="00236ED6" w:rsidRPr="00236ED6" w:rsidRDefault="00236ED6" w:rsidP="00236ED6">
            <w:pPr>
              <w:jc w:val="left"/>
              <w:rPr>
                <w:color w:val="000000"/>
                <w:sz w:val="20"/>
                <w:szCs w:val="20"/>
              </w:rPr>
            </w:pPr>
          </w:p>
        </w:tc>
        <w:tc>
          <w:tcPr>
            <w:tcW w:w="2511" w:type="dxa"/>
            <w:vMerge/>
            <w:vAlign w:val="center"/>
            <w:hideMark/>
          </w:tcPr>
          <w:p w14:paraId="2BDA796E" w14:textId="77777777" w:rsidR="00236ED6" w:rsidRPr="00236ED6" w:rsidRDefault="00236ED6" w:rsidP="00236ED6">
            <w:pPr>
              <w:jc w:val="left"/>
              <w:rPr>
                <w:color w:val="000000"/>
                <w:sz w:val="22"/>
                <w:szCs w:val="22"/>
              </w:rPr>
            </w:pPr>
          </w:p>
        </w:tc>
        <w:tc>
          <w:tcPr>
            <w:tcW w:w="2552" w:type="dxa"/>
            <w:vMerge/>
            <w:vAlign w:val="center"/>
            <w:hideMark/>
          </w:tcPr>
          <w:p w14:paraId="77712961" w14:textId="77777777" w:rsidR="00236ED6" w:rsidRPr="00236ED6" w:rsidRDefault="00236ED6" w:rsidP="00236ED6">
            <w:pPr>
              <w:jc w:val="left"/>
              <w:rPr>
                <w:color w:val="000000"/>
                <w:sz w:val="22"/>
                <w:szCs w:val="22"/>
              </w:rPr>
            </w:pPr>
          </w:p>
        </w:tc>
      </w:tr>
      <w:tr w:rsidR="00236ED6" w:rsidRPr="00236ED6" w14:paraId="0990F52A" w14:textId="77777777" w:rsidTr="00236ED6">
        <w:trPr>
          <w:trHeight w:val="288"/>
          <w:jc w:val="center"/>
        </w:trPr>
        <w:tc>
          <w:tcPr>
            <w:tcW w:w="618" w:type="dxa"/>
            <w:vMerge/>
            <w:vAlign w:val="center"/>
            <w:hideMark/>
          </w:tcPr>
          <w:p w14:paraId="73482598" w14:textId="77777777" w:rsidR="00236ED6" w:rsidRPr="00236ED6" w:rsidRDefault="00236ED6" w:rsidP="00236ED6">
            <w:pPr>
              <w:jc w:val="left"/>
              <w:rPr>
                <w:b/>
                <w:bCs/>
                <w:color w:val="000000"/>
                <w:sz w:val="16"/>
                <w:szCs w:val="16"/>
              </w:rPr>
            </w:pPr>
          </w:p>
        </w:tc>
        <w:tc>
          <w:tcPr>
            <w:tcW w:w="1974" w:type="dxa"/>
            <w:vMerge/>
            <w:vAlign w:val="center"/>
            <w:hideMark/>
          </w:tcPr>
          <w:p w14:paraId="31D71F2C" w14:textId="77777777" w:rsidR="00236ED6" w:rsidRPr="00236ED6" w:rsidRDefault="00236ED6" w:rsidP="00236ED6">
            <w:pPr>
              <w:jc w:val="left"/>
              <w:rPr>
                <w:color w:val="000000"/>
                <w:sz w:val="20"/>
                <w:szCs w:val="20"/>
              </w:rPr>
            </w:pPr>
          </w:p>
        </w:tc>
        <w:tc>
          <w:tcPr>
            <w:tcW w:w="2511" w:type="dxa"/>
            <w:vMerge/>
            <w:vAlign w:val="center"/>
            <w:hideMark/>
          </w:tcPr>
          <w:p w14:paraId="24D3A4A4" w14:textId="77777777" w:rsidR="00236ED6" w:rsidRPr="00236ED6" w:rsidRDefault="00236ED6" w:rsidP="00236ED6">
            <w:pPr>
              <w:jc w:val="left"/>
              <w:rPr>
                <w:color w:val="000000"/>
                <w:sz w:val="22"/>
                <w:szCs w:val="22"/>
              </w:rPr>
            </w:pPr>
          </w:p>
        </w:tc>
        <w:tc>
          <w:tcPr>
            <w:tcW w:w="2552" w:type="dxa"/>
            <w:vMerge/>
            <w:vAlign w:val="center"/>
            <w:hideMark/>
          </w:tcPr>
          <w:p w14:paraId="665FF042" w14:textId="77777777" w:rsidR="00236ED6" w:rsidRPr="00236ED6" w:rsidRDefault="00236ED6" w:rsidP="00236ED6">
            <w:pPr>
              <w:jc w:val="left"/>
              <w:rPr>
                <w:color w:val="000000"/>
                <w:sz w:val="22"/>
                <w:szCs w:val="22"/>
              </w:rPr>
            </w:pPr>
          </w:p>
        </w:tc>
      </w:tr>
      <w:tr w:rsidR="00236ED6" w:rsidRPr="00236ED6" w14:paraId="13613854" w14:textId="77777777" w:rsidTr="00236ED6">
        <w:trPr>
          <w:trHeight w:val="300"/>
          <w:jc w:val="center"/>
        </w:trPr>
        <w:tc>
          <w:tcPr>
            <w:tcW w:w="618" w:type="dxa"/>
            <w:vMerge/>
            <w:vAlign w:val="center"/>
            <w:hideMark/>
          </w:tcPr>
          <w:p w14:paraId="1919EFED" w14:textId="77777777" w:rsidR="00236ED6" w:rsidRPr="00236ED6" w:rsidRDefault="00236ED6" w:rsidP="00236ED6">
            <w:pPr>
              <w:jc w:val="left"/>
              <w:rPr>
                <w:b/>
                <w:bCs/>
                <w:color w:val="000000"/>
                <w:sz w:val="16"/>
                <w:szCs w:val="16"/>
              </w:rPr>
            </w:pPr>
          </w:p>
        </w:tc>
        <w:tc>
          <w:tcPr>
            <w:tcW w:w="1974" w:type="dxa"/>
            <w:vMerge w:val="restart"/>
            <w:shd w:val="clear" w:color="000000" w:fill="E7E6E6"/>
            <w:vAlign w:val="center"/>
            <w:hideMark/>
          </w:tcPr>
          <w:p w14:paraId="13161C42" w14:textId="77777777" w:rsidR="00236ED6" w:rsidRPr="00236ED6" w:rsidRDefault="00236ED6" w:rsidP="00236ED6">
            <w:pPr>
              <w:jc w:val="left"/>
              <w:rPr>
                <w:color w:val="000000"/>
                <w:sz w:val="20"/>
                <w:szCs w:val="20"/>
              </w:rPr>
            </w:pPr>
            <w:r w:rsidRPr="00236ED6">
              <w:rPr>
                <w:color w:val="000000"/>
                <w:sz w:val="20"/>
                <w:szCs w:val="20"/>
              </w:rPr>
              <w:t>LIVELLO AVANZATO</w:t>
            </w:r>
            <w:r w:rsidRPr="00236ED6">
              <w:rPr>
                <w:color w:val="000000"/>
                <w:sz w:val="20"/>
                <w:szCs w:val="20"/>
              </w:rPr>
              <w:br/>
              <w:t>(1+ɣ</w:t>
            </w:r>
            <w:r w:rsidRPr="00236ED6">
              <w:rPr>
                <w:color w:val="000000"/>
                <w:sz w:val="20"/>
                <w:szCs w:val="20"/>
                <w:vertAlign w:val="subscript"/>
              </w:rPr>
              <w:t>a</w:t>
            </w:r>
            <w:r w:rsidRPr="00236ED6">
              <w:rPr>
                <w:color w:val="000000"/>
                <w:sz w:val="20"/>
                <w:szCs w:val="20"/>
              </w:rPr>
              <w:t xml:space="preserve">) </w:t>
            </w:r>
            <w:r w:rsidRPr="00236ED6">
              <w:rPr>
                <w:rFonts w:ascii="Calibri" w:hAnsi="Calibri" w:cs="Calibri"/>
                <w:color w:val="000000"/>
                <w:sz w:val="20"/>
                <w:szCs w:val="20"/>
              </w:rPr>
              <w:t>&gt;</w:t>
            </w:r>
            <w:r w:rsidRPr="00236ED6">
              <w:rPr>
                <w:color w:val="000000"/>
                <w:sz w:val="20"/>
                <w:szCs w:val="20"/>
              </w:rPr>
              <w:t xml:space="preserve"> 0,5</w:t>
            </w:r>
          </w:p>
        </w:tc>
        <w:tc>
          <w:tcPr>
            <w:tcW w:w="2511" w:type="dxa"/>
            <w:vMerge w:val="restart"/>
            <w:shd w:val="clear" w:color="auto" w:fill="auto"/>
            <w:vAlign w:val="center"/>
            <w:hideMark/>
          </w:tcPr>
          <w:p w14:paraId="5246DC8D" w14:textId="77777777" w:rsidR="00236ED6" w:rsidRPr="00236ED6" w:rsidRDefault="00236ED6" w:rsidP="00236ED6">
            <w:pPr>
              <w:jc w:val="left"/>
              <w:rPr>
                <w:color w:val="000000"/>
                <w:sz w:val="22"/>
                <w:szCs w:val="22"/>
              </w:rPr>
            </w:pPr>
            <w:r w:rsidRPr="00236ED6">
              <w:rPr>
                <w:color w:val="000000"/>
                <w:sz w:val="22"/>
                <w:szCs w:val="22"/>
              </w:rPr>
              <w:t xml:space="preserve"> </w:t>
            </w:r>
            <w:r w:rsidRPr="00236ED6">
              <w:rPr>
                <w:color w:val="2F75B5"/>
                <w:sz w:val="22"/>
                <w:szCs w:val="22"/>
              </w:rPr>
              <w:t>Fattore di recupero di produttività:</w:t>
            </w:r>
            <w:r w:rsidRPr="00236ED6">
              <w:rPr>
                <w:color w:val="2F75B5"/>
                <w:sz w:val="22"/>
                <w:szCs w:val="22"/>
              </w:rPr>
              <w:br/>
            </w:r>
            <w:r w:rsidRPr="00236ED6">
              <w:rPr>
                <w:color w:val="000000"/>
                <w:sz w:val="22"/>
                <w:szCs w:val="22"/>
              </w:rPr>
              <w:t xml:space="preserve">            0,1% &lt; X</w:t>
            </w:r>
            <w:r w:rsidRPr="00236ED6">
              <w:rPr>
                <w:color w:val="000000"/>
                <w:sz w:val="22"/>
                <w:szCs w:val="22"/>
                <w:vertAlign w:val="subscript"/>
              </w:rPr>
              <w:t>a</w:t>
            </w:r>
            <w:r w:rsidRPr="00236ED6">
              <w:rPr>
                <w:color w:val="000000"/>
                <w:sz w:val="22"/>
                <w:szCs w:val="22"/>
              </w:rPr>
              <w:t xml:space="preserve"> ≤ 0,3%</w:t>
            </w:r>
          </w:p>
        </w:tc>
        <w:tc>
          <w:tcPr>
            <w:tcW w:w="2552" w:type="dxa"/>
            <w:vMerge w:val="restart"/>
            <w:shd w:val="clear" w:color="auto" w:fill="auto"/>
            <w:vAlign w:val="center"/>
            <w:hideMark/>
          </w:tcPr>
          <w:p w14:paraId="0387FF7E" w14:textId="77777777" w:rsidR="00236ED6" w:rsidRPr="00236ED6" w:rsidRDefault="00236ED6" w:rsidP="00236ED6">
            <w:pPr>
              <w:jc w:val="left"/>
              <w:rPr>
                <w:color w:val="000000"/>
                <w:sz w:val="22"/>
                <w:szCs w:val="22"/>
              </w:rPr>
            </w:pPr>
            <w:r w:rsidRPr="00236ED6">
              <w:rPr>
                <w:color w:val="000000"/>
                <w:sz w:val="22"/>
                <w:szCs w:val="22"/>
              </w:rPr>
              <w:t xml:space="preserve"> </w:t>
            </w:r>
            <w:bookmarkStart w:id="37" w:name="_Hlk87814469"/>
            <w:r w:rsidRPr="00236ED6">
              <w:rPr>
                <w:color w:val="2F75B5"/>
                <w:sz w:val="22"/>
                <w:szCs w:val="22"/>
              </w:rPr>
              <w:t>Fattore di recupero di produttività:</w:t>
            </w:r>
            <w:r w:rsidRPr="00236ED6">
              <w:rPr>
                <w:color w:val="2F75B5"/>
                <w:sz w:val="22"/>
                <w:szCs w:val="22"/>
              </w:rPr>
              <w:br/>
            </w:r>
            <w:r w:rsidRPr="00236ED6">
              <w:rPr>
                <w:color w:val="000000"/>
                <w:sz w:val="22"/>
                <w:szCs w:val="22"/>
              </w:rPr>
              <w:t xml:space="preserve">            X</w:t>
            </w:r>
            <w:r w:rsidRPr="00236ED6">
              <w:rPr>
                <w:color w:val="000000"/>
                <w:sz w:val="22"/>
                <w:szCs w:val="22"/>
                <w:vertAlign w:val="subscript"/>
              </w:rPr>
              <w:t>a</w:t>
            </w:r>
            <w:r w:rsidRPr="00236ED6">
              <w:rPr>
                <w:color w:val="000000"/>
                <w:sz w:val="22"/>
                <w:szCs w:val="22"/>
              </w:rPr>
              <w:t xml:space="preserve"> = 0,1%</w:t>
            </w:r>
            <w:bookmarkEnd w:id="37"/>
          </w:p>
        </w:tc>
      </w:tr>
      <w:tr w:rsidR="00236ED6" w:rsidRPr="00236ED6" w14:paraId="77952B07" w14:textId="77777777" w:rsidTr="00236ED6">
        <w:trPr>
          <w:trHeight w:val="288"/>
          <w:jc w:val="center"/>
        </w:trPr>
        <w:tc>
          <w:tcPr>
            <w:tcW w:w="618" w:type="dxa"/>
            <w:vMerge/>
            <w:vAlign w:val="center"/>
            <w:hideMark/>
          </w:tcPr>
          <w:p w14:paraId="13BAA0CC" w14:textId="77777777" w:rsidR="00236ED6" w:rsidRPr="00236ED6" w:rsidRDefault="00236ED6" w:rsidP="00236ED6">
            <w:pPr>
              <w:jc w:val="left"/>
              <w:rPr>
                <w:b/>
                <w:bCs/>
                <w:color w:val="000000"/>
                <w:sz w:val="16"/>
                <w:szCs w:val="16"/>
              </w:rPr>
            </w:pPr>
          </w:p>
        </w:tc>
        <w:tc>
          <w:tcPr>
            <w:tcW w:w="1974" w:type="dxa"/>
            <w:vMerge/>
            <w:vAlign w:val="center"/>
            <w:hideMark/>
          </w:tcPr>
          <w:p w14:paraId="79B76103" w14:textId="77777777" w:rsidR="00236ED6" w:rsidRPr="00236ED6" w:rsidRDefault="00236ED6" w:rsidP="00236ED6">
            <w:pPr>
              <w:jc w:val="left"/>
              <w:rPr>
                <w:color w:val="000000"/>
                <w:sz w:val="20"/>
                <w:szCs w:val="20"/>
              </w:rPr>
            </w:pPr>
          </w:p>
        </w:tc>
        <w:tc>
          <w:tcPr>
            <w:tcW w:w="2511" w:type="dxa"/>
            <w:vMerge/>
            <w:vAlign w:val="center"/>
            <w:hideMark/>
          </w:tcPr>
          <w:p w14:paraId="0B11A50E" w14:textId="77777777" w:rsidR="00236ED6" w:rsidRPr="00236ED6" w:rsidRDefault="00236ED6" w:rsidP="00236ED6">
            <w:pPr>
              <w:jc w:val="left"/>
              <w:rPr>
                <w:color w:val="000000"/>
                <w:sz w:val="22"/>
                <w:szCs w:val="22"/>
              </w:rPr>
            </w:pPr>
          </w:p>
        </w:tc>
        <w:tc>
          <w:tcPr>
            <w:tcW w:w="2552" w:type="dxa"/>
            <w:vMerge/>
            <w:shd w:val="clear" w:color="auto" w:fill="auto"/>
            <w:vAlign w:val="center"/>
            <w:hideMark/>
          </w:tcPr>
          <w:p w14:paraId="3EF5D264" w14:textId="77777777" w:rsidR="00236ED6" w:rsidRPr="00236ED6" w:rsidRDefault="00236ED6" w:rsidP="00236ED6">
            <w:pPr>
              <w:jc w:val="left"/>
              <w:rPr>
                <w:color w:val="000000"/>
                <w:sz w:val="22"/>
                <w:szCs w:val="22"/>
              </w:rPr>
            </w:pPr>
          </w:p>
        </w:tc>
      </w:tr>
      <w:tr w:rsidR="00236ED6" w:rsidRPr="00236ED6" w14:paraId="637C8673" w14:textId="77777777" w:rsidTr="00236ED6">
        <w:trPr>
          <w:trHeight w:val="288"/>
          <w:jc w:val="center"/>
        </w:trPr>
        <w:tc>
          <w:tcPr>
            <w:tcW w:w="618" w:type="dxa"/>
            <w:vMerge/>
            <w:vAlign w:val="center"/>
            <w:hideMark/>
          </w:tcPr>
          <w:p w14:paraId="30A0B08B" w14:textId="77777777" w:rsidR="00236ED6" w:rsidRPr="00236ED6" w:rsidRDefault="00236ED6" w:rsidP="00236ED6">
            <w:pPr>
              <w:jc w:val="left"/>
              <w:rPr>
                <w:b/>
                <w:bCs/>
                <w:color w:val="000000"/>
                <w:sz w:val="16"/>
                <w:szCs w:val="16"/>
              </w:rPr>
            </w:pPr>
          </w:p>
        </w:tc>
        <w:tc>
          <w:tcPr>
            <w:tcW w:w="1974" w:type="dxa"/>
            <w:vMerge/>
            <w:vAlign w:val="center"/>
            <w:hideMark/>
          </w:tcPr>
          <w:p w14:paraId="1FA187DC" w14:textId="77777777" w:rsidR="00236ED6" w:rsidRPr="00236ED6" w:rsidRDefault="00236ED6" w:rsidP="00236ED6">
            <w:pPr>
              <w:jc w:val="left"/>
              <w:rPr>
                <w:color w:val="000000"/>
                <w:sz w:val="20"/>
                <w:szCs w:val="20"/>
              </w:rPr>
            </w:pPr>
          </w:p>
        </w:tc>
        <w:tc>
          <w:tcPr>
            <w:tcW w:w="2511" w:type="dxa"/>
            <w:vMerge/>
            <w:vAlign w:val="center"/>
            <w:hideMark/>
          </w:tcPr>
          <w:p w14:paraId="12E5C1B7" w14:textId="77777777" w:rsidR="00236ED6" w:rsidRPr="00236ED6" w:rsidRDefault="00236ED6" w:rsidP="00236ED6">
            <w:pPr>
              <w:jc w:val="left"/>
              <w:rPr>
                <w:color w:val="000000"/>
                <w:sz w:val="22"/>
                <w:szCs w:val="22"/>
              </w:rPr>
            </w:pPr>
          </w:p>
        </w:tc>
        <w:tc>
          <w:tcPr>
            <w:tcW w:w="2552" w:type="dxa"/>
            <w:vMerge/>
            <w:shd w:val="clear" w:color="auto" w:fill="auto"/>
            <w:vAlign w:val="center"/>
            <w:hideMark/>
          </w:tcPr>
          <w:p w14:paraId="13454534" w14:textId="77777777" w:rsidR="00236ED6" w:rsidRPr="00236ED6" w:rsidRDefault="00236ED6" w:rsidP="00236ED6">
            <w:pPr>
              <w:jc w:val="left"/>
              <w:rPr>
                <w:color w:val="000000"/>
                <w:sz w:val="22"/>
                <w:szCs w:val="22"/>
              </w:rPr>
            </w:pPr>
          </w:p>
        </w:tc>
      </w:tr>
      <w:tr w:rsidR="00236ED6" w:rsidRPr="00236ED6" w14:paraId="19537D09" w14:textId="77777777" w:rsidTr="00236ED6">
        <w:trPr>
          <w:trHeight w:val="288"/>
          <w:jc w:val="center"/>
        </w:trPr>
        <w:tc>
          <w:tcPr>
            <w:tcW w:w="618" w:type="dxa"/>
            <w:vMerge/>
            <w:vAlign w:val="center"/>
            <w:hideMark/>
          </w:tcPr>
          <w:p w14:paraId="3B3ECA36" w14:textId="77777777" w:rsidR="00236ED6" w:rsidRPr="00236ED6" w:rsidRDefault="00236ED6" w:rsidP="00236ED6">
            <w:pPr>
              <w:jc w:val="left"/>
              <w:rPr>
                <w:b/>
                <w:bCs/>
                <w:color w:val="000000"/>
                <w:sz w:val="16"/>
                <w:szCs w:val="16"/>
              </w:rPr>
            </w:pPr>
          </w:p>
        </w:tc>
        <w:tc>
          <w:tcPr>
            <w:tcW w:w="1974" w:type="dxa"/>
            <w:vMerge/>
            <w:vAlign w:val="center"/>
            <w:hideMark/>
          </w:tcPr>
          <w:p w14:paraId="72E04AB0" w14:textId="77777777" w:rsidR="00236ED6" w:rsidRPr="00236ED6" w:rsidRDefault="00236ED6" w:rsidP="00236ED6">
            <w:pPr>
              <w:jc w:val="left"/>
              <w:rPr>
                <w:color w:val="000000"/>
                <w:sz w:val="20"/>
                <w:szCs w:val="20"/>
              </w:rPr>
            </w:pPr>
          </w:p>
        </w:tc>
        <w:tc>
          <w:tcPr>
            <w:tcW w:w="2511" w:type="dxa"/>
            <w:vMerge/>
            <w:vAlign w:val="center"/>
            <w:hideMark/>
          </w:tcPr>
          <w:p w14:paraId="219E304F" w14:textId="77777777" w:rsidR="00236ED6" w:rsidRPr="00236ED6" w:rsidRDefault="00236ED6" w:rsidP="00236ED6">
            <w:pPr>
              <w:jc w:val="left"/>
              <w:rPr>
                <w:color w:val="000000"/>
                <w:sz w:val="22"/>
                <w:szCs w:val="22"/>
              </w:rPr>
            </w:pPr>
          </w:p>
        </w:tc>
        <w:tc>
          <w:tcPr>
            <w:tcW w:w="2552" w:type="dxa"/>
            <w:vMerge/>
            <w:shd w:val="clear" w:color="auto" w:fill="auto"/>
            <w:vAlign w:val="center"/>
            <w:hideMark/>
          </w:tcPr>
          <w:p w14:paraId="4CB00F9B" w14:textId="77777777" w:rsidR="00236ED6" w:rsidRPr="00236ED6" w:rsidRDefault="00236ED6" w:rsidP="00236ED6">
            <w:pPr>
              <w:jc w:val="left"/>
              <w:rPr>
                <w:color w:val="000000"/>
                <w:sz w:val="22"/>
                <w:szCs w:val="22"/>
              </w:rPr>
            </w:pPr>
          </w:p>
        </w:tc>
      </w:tr>
      <w:tr w:rsidR="00236ED6" w:rsidRPr="00236ED6" w14:paraId="7AD6B2D0" w14:textId="77777777" w:rsidTr="00236ED6">
        <w:trPr>
          <w:trHeight w:val="288"/>
          <w:jc w:val="center"/>
        </w:trPr>
        <w:tc>
          <w:tcPr>
            <w:tcW w:w="618" w:type="dxa"/>
            <w:vMerge/>
            <w:vAlign w:val="center"/>
            <w:hideMark/>
          </w:tcPr>
          <w:p w14:paraId="32F07FF0" w14:textId="77777777" w:rsidR="00236ED6" w:rsidRPr="00236ED6" w:rsidRDefault="00236ED6" w:rsidP="00236ED6">
            <w:pPr>
              <w:jc w:val="left"/>
              <w:rPr>
                <w:b/>
                <w:bCs/>
                <w:color w:val="000000"/>
                <w:sz w:val="16"/>
                <w:szCs w:val="16"/>
              </w:rPr>
            </w:pPr>
          </w:p>
        </w:tc>
        <w:tc>
          <w:tcPr>
            <w:tcW w:w="1974" w:type="dxa"/>
            <w:vMerge/>
            <w:vAlign w:val="center"/>
            <w:hideMark/>
          </w:tcPr>
          <w:p w14:paraId="4F68E078" w14:textId="77777777" w:rsidR="00236ED6" w:rsidRPr="00236ED6" w:rsidRDefault="00236ED6" w:rsidP="00236ED6">
            <w:pPr>
              <w:jc w:val="left"/>
              <w:rPr>
                <w:color w:val="000000"/>
                <w:sz w:val="20"/>
                <w:szCs w:val="20"/>
              </w:rPr>
            </w:pPr>
          </w:p>
        </w:tc>
        <w:tc>
          <w:tcPr>
            <w:tcW w:w="2511" w:type="dxa"/>
            <w:vMerge/>
            <w:vAlign w:val="center"/>
            <w:hideMark/>
          </w:tcPr>
          <w:p w14:paraId="057843F9" w14:textId="77777777" w:rsidR="00236ED6" w:rsidRPr="00236ED6" w:rsidRDefault="00236ED6" w:rsidP="00236ED6">
            <w:pPr>
              <w:jc w:val="left"/>
              <w:rPr>
                <w:color w:val="000000"/>
                <w:sz w:val="22"/>
                <w:szCs w:val="22"/>
              </w:rPr>
            </w:pPr>
          </w:p>
        </w:tc>
        <w:tc>
          <w:tcPr>
            <w:tcW w:w="2552" w:type="dxa"/>
            <w:vMerge/>
            <w:shd w:val="clear" w:color="auto" w:fill="auto"/>
            <w:vAlign w:val="center"/>
            <w:hideMark/>
          </w:tcPr>
          <w:p w14:paraId="71D45BE7" w14:textId="77777777" w:rsidR="00236ED6" w:rsidRPr="00236ED6" w:rsidRDefault="00236ED6" w:rsidP="00236ED6">
            <w:pPr>
              <w:jc w:val="left"/>
              <w:rPr>
                <w:color w:val="000000"/>
                <w:sz w:val="22"/>
                <w:szCs w:val="22"/>
              </w:rPr>
            </w:pPr>
          </w:p>
        </w:tc>
      </w:tr>
    </w:tbl>
    <w:p w14:paraId="1996C62F" w14:textId="77777777" w:rsidR="00181369" w:rsidRDefault="00181369" w:rsidP="00045A24">
      <w:pPr>
        <w:rPr>
          <w:b/>
          <w:i/>
        </w:rPr>
      </w:pPr>
    </w:p>
    <w:p w14:paraId="483DACD9" w14:textId="77777777" w:rsidR="00181369" w:rsidRDefault="00BE03E9" w:rsidP="00BE03E9">
      <w:pPr>
        <w:rPr>
          <w:b/>
          <w:i/>
        </w:rPr>
      </w:pPr>
      <w:r w:rsidRPr="004E796B">
        <w:t>Il fattore di recupero di produttività per gli anni 2022-2025 è dunque pari a:</w:t>
      </w:r>
      <w:r w:rsidRPr="004E796B">
        <w:rPr>
          <w:b/>
          <w:i/>
        </w:rPr>
        <w:t xml:space="preserve"> Xa = 0,1%</w:t>
      </w:r>
    </w:p>
    <w:p w14:paraId="011CEE62" w14:textId="77777777" w:rsidR="00BE03E9" w:rsidRDefault="00BE03E9" w:rsidP="00045A24">
      <w:pPr>
        <w:rPr>
          <w:b/>
          <w:i/>
        </w:rPr>
      </w:pPr>
    </w:p>
    <w:p w14:paraId="4DF1C825" w14:textId="77777777" w:rsidR="003B635F" w:rsidRPr="00106034" w:rsidRDefault="003B635F" w:rsidP="00F15041">
      <w:pPr>
        <w:rPr>
          <w:lang w:eastAsia="en-GB"/>
        </w:rPr>
      </w:pPr>
    </w:p>
    <w:p w14:paraId="4F98032A" w14:textId="77777777" w:rsidR="00F15041" w:rsidRPr="00773DFA" w:rsidRDefault="00232959" w:rsidP="00F15041">
      <w:pPr>
        <w:pStyle w:val="Titolo3"/>
      </w:pPr>
      <w:bookmarkStart w:id="38" w:name="_Toc92569727"/>
      <w:r>
        <w:t>Coefficiente QL e PG</w:t>
      </w:r>
      <w:bookmarkEnd w:id="38"/>
      <w:r w:rsidR="00F15041" w:rsidRPr="00773DFA">
        <w:t xml:space="preserve"> </w:t>
      </w:r>
    </w:p>
    <w:p w14:paraId="15BE51C1" w14:textId="77777777" w:rsidR="00F15041" w:rsidRDefault="0071028E" w:rsidP="00F15041">
      <w:r w:rsidRPr="0071028E">
        <w:t>L</w:t>
      </w:r>
      <w:r w:rsidR="003B635F" w:rsidRPr="0071028E">
        <w:t>’Ente Territorialmente Competente</w:t>
      </w:r>
      <w:r w:rsidRPr="0071028E">
        <w:t xml:space="preserve"> conferma la valorizzazione de</w:t>
      </w:r>
      <w:r w:rsidR="00027545">
        <w:t>l</w:t>
      </w:r>
      <w:r w:rsidRPr="0071028E">
        <w:t xml:space="preserve"> coefficient</w:t>
      </w:r>
      <w:r w:rsidR="00027545">
        <w:t>e</w:t>
      </w:r>
      <w:r w:rsidRPr="0071028E">
        <w:t xml:space="preserve"> QL propost</w:t>
      </w:r>
      <w:r w:rsidR="00027545">
        <w:t>o</w:t>
      </w:r>
      <w:r w:rsidRPr="0071028E">
        <w:t xml:space="preserve"> dal gestore rispettivamente ai paragrafi 3.1.2.</w:t>
      </w:r>
    </w:p>
    <w:p w14:paraId="41531761" w14:textId="77777777" w:rsidR="00027545" w:rsidRDefault="00027545" w:rsidP="00F15041"/>
    <w:p w14:paraId="2BB4BBE8" w14:textId="1E80F8BD" w:rsidR="00027545" w:rsidRDefault="00027545" w:rsidP="00027545">
      <w:r>
        <w:t>In merito al coefficiente PG, occorre considerare l’attività di g</w:t>
      </w:r>
      <w:r w:rsidRPr="004D2750">
        <w:t>estione tariffe e rapporto con gli utenti</w:t>
      </w:r>
      <w:r>
        <w:t>, in capo al</w:t>
      </w:r>
      <w:r w:rsidRPr="004D2750">
        <w:t xml:space="preserve"> </w:t>
      </w:r>
      <w:r w:rsidR="0055047E">
        <w:t>C</w:t>
      </w:r>
      <w:r w:rsidRPr="004D2750">
        <w:t>omune di Brescia</w:t>
      </w:r>
      <w:r>
        <w:t xml:space="preserve">, per la quale è previsto a partire dal 2022 </w:t>
      </w:r>
      <w:bookmarkStart w:id="39" w:name="_Hlk87815149"/>
      <w:r>
        <w:t>un ampliamento delle attività di controllo sistematico dei contribuenti volto a migliorare ulteriormente la fedeltà tributaria degli utenti del servizio</w:t>
      </w:r>
      <w:bookmarkEnd w:id="39"/>
      <w:r>
        <w:t xml:space="preserve">. Per questo motivo è stato valorizzato il coefficiente </w:t>
      </w:r>
      <w:r w:rsidRPr="00BC5306">
        <w:rPr>
          <w:i/>
        </w:rPr>
        <w:t>PG</w:t>
      </w:r>
      <w:r>
        <w:t xml:space="preserve"> per il solo anno 2022 pari a +0,25%.</w:t>
      </w:r>
    </w:p>
    <w:p w14:paraId="54D33EA7" w14:textId="77777777" w:rsidR="00510908" w:rsidRDefault="00510908" w:rsidP="00027545"/>
    <w:p w14:paraId="4F997AB0" w14:textId="77777777" w:rsidR="00027545" w:rsidRDefault="00027545" w:rsidP="00027545">
      <w:pPr>
        <w:rPr>
          <w:color w:val="000000"/>
        </w:rPr>
      </w:pPr>
      <w:r>
        <w:rPr>
          <w:color w:val="000000"/>
        </w:rPr>
        <w:t>La stringa dei PG previsti nell’arco 2022-2025 comprendente l’effetto sopra descritto è dunque:</w:t>
      </w:r>
    </w:p>
    <w:p w14:paraId="4E048FBF" w14:textId="77777777" w:rsidR="00027545" w:rsidRDefault="00027545" w:rsidP="00027545">
      <w:pPr>
        <w:rPr>
          <w:color w:val="000000"/>
        </w:rPr>
      </w:pPr>
    </w:p>
    <w:tbl>
      <w:tblPr>
        <w:tblW w:w="9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5"/>
        <w:gridCol w:w="1252"/>
        <w:gridCol w:w="874"/>
        <w:gridCol w:w="874"/>
        <w:gridCol w:w="874"/>
        <w:gridCol w:w="874"/>
      </w:tblGrid>
      <w:tr w:rsidR="00027545" w:rsidRPr="00F96665" w14:paraId="777D2AEE" w14:textId="77777777" w:rsidTr="004251A3">
        <w:trPr>
          <w:trHeight w:val="900"/>
          <w:jc w:val="center"/>
        </w:trPr>
        <w:tc>
          <w:tcPr>
            <w:tcW w:w="5215" w:type="dxa"/>
            <w:shd w:val="clear" w:color="000000" w:fill="E7E6E6"/>
            <w:noWrap/>
            <w:vAlign w:val="center"/>
            <w:hideMark/>
          </w:tcPr>
          <w:p w14:paraId="200B7C1D" w14:textId="77777777" w:rsidR="00027545" w:rsidRPr="00F96665" w:rsidRDefault="00027545" w:rsidP="004251A3">
            <w:pPr>
              <w:jc w:val="center"/>
              <w:rPr>
                <w:color w:val="000000"/>
                <w:sz w:val="22"/>
                <w:szCs w:val="22"/>
              </w:rPr>
            </w:pPr>
            <w:r w:rsidRPr="00F96665">
              <w:rPr>
                <w:color w:val="000000"/>
                <w:sz w:val="22"/>
                <w:szCs w:val="22"/>
              </w:rPr>
              <w:t>DESCRIZIONE</w:t>
            </w:r>
          </w:p>
        </w:tc>
        <w:tc>
          <w:tcPr>
            <w:tcW w:w="1252" w:type="dxa"/>
            <w:shd w:val="clear" w:color="000000" w:fill="E7E6E6"/>
            <w:noWrap/>
            <w:vAlign w:val="center"/>
            <w:hideMark/>
          </w:tcPr>
          <w:p w14:paraId="73A52352" w14:textId="77777777" w:rsidR="00027545" w:rsidRPr="00F96665" w:rsidRDefault="00027545" w:rsidP="004251A3">
            <w:pPr>
              <w:jc w:val="center"/>
              <w:rPr>
                <w:color w:val="000000"/>
                <w:sz w:val="22"/>
                <w:szCs w:val="22"/>
              </w:rPr>
            </w:pPr>
            <w:r w:rsidRPr="00F96665">
              <w:rPr>
                <w:color w:val="000000"/>
                <w:sz w:val="22"/>
                <w:szCs w:val="22"/>
              </w:rPr>
              <w:t>SIGLA</w:t>
            </w:r>
          </w:p>
        </w:tc>
        <w:tc>
          <w:tcPr>
            <w:tcW w:w="874" w:type="dxa"/>
            <w:shd w:val="clear" w:color="000000" w:fill="E7E6E6"/>
            <w:vAlign w:val="center"/>
            <w:hideMark/>
          </w:tcPr>
          <w:p w14:paraId="2149093C" w14:textId="77777777" w:rsidR="00027545" w:rsidRPr="00F96665" w:rsidRDefault="00027545" w:rsidP="004251A3">
            <w:pPr>
              <w:jc w:val="center"/>
              <w:rPr>
                <w:color w:val="000000"/>
                <w:sz w:val="22"/>
                <w:szCs w:val="22"/>
              </w:rPr>
            </w:pPr>
            <w:r w:rsidRPr="00F96665">
              <w:rPr>
                <w:color w:val="000000"/>
                <w:sz w:val="22"/>
                <w:szCs w:val="22"/>
              </w:rPr>
              <w:t>2022</w:t>
            </w:r>
          </w:p>
        </w:tc>
        <w:tc>
          <w:tcPr>
            <w:tcW w:w="874" w:type="dxa"/>
            <w:shd w:val="clear" w:color="000000" w:fill="E7E6E6"/>
            <w:vAlign w:val="center"/>
            <w:hideMark/>
          </w:tcPr>
          <w:p w14:paraId="09F413CC" w14:textId="77777777" w:rsidR="00027545" w:rsidRPr="00F96665" w:rsidRDefault="00027545" w:rsidP="004251A3">
            <w:pPr>
              <w:jc w:val="center"/>
              <w:rPr>
                <w:color w:val="000000"/>
                <w:sz w:val="22"/>
                <w:szCs w:val="22"/>
              </w:rPr>
            </w:pPr>
            <w:r w:rsidRPr="00F96665">
              <w:rPr>
                <w:color w:val="000000"/>
                <w:sz w:val="22"/>
                <w:szCs w:val="22"/>
              </w:rPr>
              <w:t>202</w:t>
            </w:r>
            <w:r>
              <w:rPr>
                <w:color w:val="000000"/>
                <w:sz w:val="22"/>
                <w:szCs w:val="22"/>
              </w:rPr>
              <w:t>3</w:t>
            </w:r>
          </w:p>
        </w:tc>
        <w:tc>
          <w:tcPr>
            <w:tcW w:w="874" w:type="dxa"/>
            <w:shd w:val="clear" w:color="000000" w:fill="E7E6E6"/>
            <w:vAlign w:val="center"/>
            <w:hideMark/>
          </w:tcPr>
          <w:p w14:paraId="73A83A25" w14:textId="77777777" w:rsidR="00027545" w:rsidRPr="00F96665" w:rsidRDefault="00027545" w:rsidP="004251A3">
            <w:pPr>
              <w:jc w:val="center"/>
              <w:rPr>
                <w:color w:val="000000"/>
                <w:sz w:val="22"/>
                <w:szCs w:val="22"/>
              </w:rPr>
            </w:pPr>
            <w:r w:rsidRPr="00F96665">
              <w:rPr>
                <w:color w:val="000000"/>
                <w:sz w:val="22"/>
                <w:szCs w:val="22"/>
              </w:rPr>
              <w:t>202</w:t>
            </w:r>
            <w:r>
              <w:rPr>
                <w:color w:val="000000"/>
                <w:sz w:val="22"/>
                <w:szCs w:val="22"/>
              </w:rPr>
              <w:t>4</w:t>
            </w:r>
          </w:p>
        </w:tc>
        <w:tc>
          <w:tcPr>
            <w:tcW w:w="874" w:type="dxa"/>
            <w:shd w:val="clear" w:color="000000" w:fill="E7E6E6"/>
            <w:vAlign w:val="center"/>
            <w:hideMark/>
          </w:tcPr>
          <w:p w14:paraId="17CB90C2" w14:textId="77777777" w:rsidR="00027545" w:rsidRPr="00F96665" w:rsidRDefault="00027545" w:rsidP="004251A3">
            <w:pPr>
              <w:jc w:val="center"/>
              <w:rPr>
                <w:color w:val="000000"/>
                <w:sz w:val="22"/>
                <w:szCs w:val="22"/>
              </w:rPr>
            </w:pPr>
            <w:r w:rsidRPr="00F96665">
              <w:rPr>
                <w:color w:val="000000"/>
                <w:sz w:val="22"/>
                <w:szCs w:val="22"/>
              </w:rPr>
              <w:t>202</w:t>
            </w:r>
            <w:r>
              <w:rPr>
                <w:color w:val="000000"/>
                <w:sz w:val="22"/>
                <w:szCs w:val="22"/>
              </w:rPr>
              <w:t>5</w:t>
            </w:r>
          </w:p>
        </w:tc>
      </w:tr>
      <w:tr w:rsidR="00027545" w:rsidRPr="00F96665" w14:paraId="78EAEEC6" w14:textId="77777777" w:rsidTr="004251A3">
        <w:trPr>
          <w:trHeight w:val="300"/>
          <w:jc w:val="center"/>
        </w:trPr>
        <w:tc>
          <w:tcPr>
            <w:tcW w:w="5215" w:type="dxa"/>
            <w:shd w:val="clear" w:color="000000" w:fill="FFFFFF"/>
            <w:noWrap/>
            <w:vAlign w:val="center"/>
            <w:hideMark/>
          </w:tcPr>
          <w:p w14:paraId="17E4DF1B" w14:textId="77777777" w:rsidR="00027545" w:rsidRPr="00F96665" w:rsidRDefault="00027545" w:rsidP="004251A3">
            <w:pPr>
              <w:jc w:val="center"/>
              <w:rPr>
                <w:color w:val="000000"/>
                <w:sz w:val="22"/>
                <w:szCs w:val="22"/>
              </w:rPr>
            </w:pPr>
            <w:r>
              <w:rPr>
                <w:color w:val="000000"/>
                <w:sz w:val="22"/>
                <w:szCs w:val="22"/>
              </w:rPr>
              <w:t>C</w:t>
            </w:r>
            <w:r w:rsidRPr="000F3153">
              <w:rPr>
                <w:color w:val="000000"/>
                <w:sz w:val="22"/>
                <w:szCs w:val="22"/>
              </w:rPr>
              <w:t xml:space="preserve">oefficiente </w:t>
            </w:r>
            <w:r>
              <w:rPr>
                <w:color w:val="000000"/>
                <w:sz w:val="22"/>
                <w:szCs w:val="22"/>
              </w:rPr>
              <w:t>c</w:t>
            </w:r>
            <w:r w:rsidRPr="002D4174">
              <w:rPr>
                <w:color w:val="000000"/>
                <w:sz w:val="22"/>
                <w:szCs w:val="22"/>
              </w:rPr>
              <w:t>onnesso alle modifiche del perimetro gestionale con riferimento ad aspetti tecnici e/o operativi</w:t>
            </w:r>
          </w:p>
        </w:tc>
        <w:tc>
          <w:tcPr>
            <w:tcW w:w="1252" w:type="dxa"/>
            <w:shd w:val="clear" w:color="000000" w:fill="FFFFFF"/>
            <w:noWrap/>
            <w:vAlign w:val="center"/>
            <w:hideMark/>
          </w:tcPr>
          <w:p w14:paraId="424FBEFD" w14:textId="77777777" w:rsidR="00027545" w:rsidRPr="00F96665" w:rsidRDefault="00027545" w:rsidP="004251A3">
            <w:pPr>
              <w:jc w:val="center"/>
              <w:rPr>
                <w:b/>
                <w:bCs/>
                <w:i/>
                <w:iCs/>
                <w:color w:val="000000"/>
                <w:sz w:val="22"/>
                <w:szCs w:val="22"/>
              </w:rPr>
            </w:pPr>
            <w:r>
              <w:rPr>
                <w:b/>
                <w:bCs/>
                <w:i/>
                <w:iCs/>
                <w:color w:val="000000"/>
                <w:sz w:val="22"/>
                <w:szCs w:val="22"/>
              </w:rPr>
              <w:t>PG</w:t>
            </w:r>
          </w:p>
        </w:tc>
        <w:tc>
          <w:tcPr>
            <w:tcW w:w="874" w:type="dxa"/>
            <w:shd w:val="clear" w:color="auto" w:fill="auto"/>
            <w:noWrap/>
            <w:vAlign w:val="center"/>
            <w:hideMark/>
          </w:tcPr>
          <w:p w14:paraId="085EC1E3" w14:textId="77777777" w:rsidR="00027545" w:rsidRPr="00F96665" w:rsidRDefault="00027545" w:rsidP="004251A3">
            <w:pPr>
              <w:jc w:val="center"/>
              <w:rPr>
                <w:color w:val="000000"/>
                <w:sz w:val="22"/>
                <w:szCs w:val="22"/>
              </w:rPr>
            </w:pPr>
            <w:r>
              <w:rPr>
                <w:color w:val="000000"/>
                <w:sz w:val="22"/>
                <w:szCs w:val="22"/>
              </w:rPr>
              <w:t>0,25%</w:t>
            </w:r>
          </w:p>
        </w:tc>
        <w:tc>
          <w:tcPr>
            <w:tcW w:w="874" w:type="dxa"/>
            <w:shd w:val="clear" w:color="auto" w:fill="auto"/>
            <w:noWrap/>
            <w:vAlign w:val="center"/>
            <w:hideMark/>
          </w:tcPr>
          <w:p w14:paraId="3640CA01" w14:textId="77777777" w:rsidR="00027545" w:rsidRPr="00F96665" w:rsidRDefault="00027545" w:rsidP="004251A3">
            <w:pPr>
              <w:jc w:val="center"/>
              <w:rPr>
                <w:color w:val="000000"/>
                <w:sz w:val="22"/>
                <w:szCs w:val="22"/>
              </w:rPr>
            </w:pPr>
            <w:r>
              <w:rPr>
                <w:color w:val="000000"/>
                <w:sz w:val="22"/>
                <w:szCs w:val="22"/>
              </w:rPr>
              <w:t>0,00%</w:t>
            </w:r>
          </w:p>
        </w:tc>
        <w:tc>
          <w:tcPr>
            <w:tcW w:w="874" w:type="dxa"/>
            <w:shd w:val="clear" w:color="auto" w:fill="auto"/>
            <w:noWrap/>
            <w:vAlign w:val="center"/>
            <w:hideMark/>
          </w:tcPr>
          <w:p w14:paraId="6E92461A" w14:textId="77777777" w:rsidR="00027545" w:rsidRPr="00F96665" w:rsidRDefault="00027545" w:rsidP="004251A3">
            <w:pPr>
              <w:jc w:val="center"/>
              <w:rPr>
                <w:color w:val="000000"/>
                <w:sz w:val="22"/>
                <w:szCs w:val="22"/>
              </w:rPr>
            </w:pPr>
            <w:r>
              <w:rPr>
                <w:color w:val="000000"/>
                <w:sz w:val="22"/>
                <w:szCs w:val="22"/>
              </w:rPr>
              <w:t>0,00%</w:t>
            </w:r>
          </w:p>
        </w:tc>
        <w:tc>
          <w:tcPr>
            <w:tcW w:w="874" w:type="dxa"/>
            <w:shd w:val="clear" w:color="auto" w:fill="auto"/>
            <w:noWrap/>
            <w:vAlign w:val="center"/>
            <w:hideMark/>
          </w:tcPr>
          <w:p w14:paraId="7C98470E" w14:textId="77777777" w:rsidR="00027545" w:rsidRPr="00F96665" w:rsidRDefault="00027545" w:rsidP="004251A3">
            <w:pPr>
              <w:jc w:val="center"/>
              <w:rPr>
                <w:color w:val="000000"/>
                <w:sz w:val="22"/>
                <w:szCs w:val="22"/>
              </w:rPr>
            </w:pPr>
            <w:r>
              <w:rPr>
                <w:color w:val="000000"/>
                <w:sz w:val="22"/>
                <w:szCs w:val="22"/>
              </w:rPr>
              <w:t>0,00%</w:t>
            </w:r>
          </w:p>
        </w:tc>
      </w:tr>
    </w:tbl>
    <w:p w14:paraId="67D72A86" w14:textId="77777777" w:rsidR="00027545" w:rsidRDefault="00027545" w:rsidP="00027545">
      <w:pPr>
        <w:rPr>
          <w:color w:val="000000"/>
        </w:rPr>
      </w:pPr>
    </w:p>
    <w:p w14:paraId="4487359D" w14:textId="77777777" w:rsidR="00027545" w:rsidRDefault="00027545" w:rsidP="00F15041">
      <w:pPr>
        <w:rPr>
          <w:lang w:eastAsia="en-GB"/>
        </w:rPr>
      </w:pPr>
    </w:p>
    <w:p w14:paraId="1220A732" w14:textId="77777777" w:rsidR="003B635F" w:rsidRPr="00773DFA" w:rsidRDefault="003B635F" w:rsidP="00F15041">
      <w:pPr>
        <w:rPr>
          <w:lang w:eastAsia="en-GB"/>
        </w:rPr>
      </w:pPr>
    </w:p>
    <w:p w14:paraId="09BAF6DE" w14:textId="77777777" w:rsidR="00F15041" w:rsidRPr="00773DFA" w:rsidRDefault="00F15041" w:rsidP="00F15041">
      <w:pPr>
        <w:pStyle w:val="Titolo3"/>
      </w:pPr>
      <w:bookmarkStart w:id="40" w:name="_Toc92569728"/>
      <w:r>
        <w:t>Co</w:t>
      </w:r>
      <w:r w:rsidR="001F6026">
        <w:t>efficiente C116</w:t>
      </w:r>
      <w:bookmarkEnd w:id="40"/>
    </w:p>
    <w:p w14:paraId="792A57D2" w14:textId="676CB574" w:rsidR="00E86B27" w:rsidRDefault="00E86B27" w:rsidP="00E86B27">
      <w:pPr>
        <w:rPr>
          <w:lang w:eastAsia="en-GB"/>
        </w:rPr>
      </w:pPr>
      <w:r>
        <w:t>Parametro non formalizzato nel PEF.</w:t>
      </w:r>
    </w:p>
    <w:p w14:paraId="10B551C6" w14:textId="77777777" w:rsidR="00027545" w:rsidRPr="00773DFA" w:rsidRDefault="00027545" w:rsidP="003771FA"/>
    <w:p w14:paraId="170EDFBD" w14:textId="77777777" w:rsidR="009471D9" w:rsidRPr="00773DFA" w:rsidRDefault="00800300" w:rsidP="003540AD">
      <w:pPr>
        <w:pStyle w:val="Titolo2"/>
      </w:pPr>
      <w:bookmarkStart w:id="41" w:name="_Toc92569729"/>
      <w:r w:rsidRPr="00800300">
        <w:t>Costi operativi di gestione associati a specifiche finalità</w:t>
      </w:r>
      <w:bookmarkEnd w:id="41"/>
      <w:r w:rsidR="009471D9" w:rsidRPr="00773DFA">
        <w:t xml:space="preserve"> </w:t>
      </w:r>
    </w:p>
    <w:p w14:paraId="30AA2217" w14:textId="77777777" w:rsidR="00F2202A" w:rsidRPr="00773DFA" w:rsidRDefault="00F2202A" w:rsidP="00F2202A">
      <w:pPr>
        <w:rPr>
          <w:lang w:eastAsia="en-GB"/>
        </w:rPr>
      </w:pPr>
    </w:p>
    <w:p w14:paraId="09EA8A53" w14:textId="77777777" w:rsidR="00F2202A" w:rsidRPr="00773DFA" w:rsidRDefault="000B3BB0" w:rsidP="00F2202A">
      <w:pPr>
        <w:pStyle w:val="Titolo3"/>
      </w:pPr>
      <w:bookmarkStart w:id="42" w:name="_Toc92569730"/>
      <w:r w:rsidRPr="000B3BB0">
        <w:t xml:space="preserve">Componente previsionale </w:t>
      </w:r>
      <w:r w:rsidR="005B009A">
        <w:rPr>
          <w:position w:val="2"/>
        </w:rPr>
        <w:t>CO</w:t>
      </w:r>
      <w:r w:rsidR="005B009A">
        <w:rPr>
          <w:sz w:val="16"/>
        </w:rPr>
        <w:t>116</w:t>
      </w:r>
      <w:bookmarkEnd w:id="42"/>
    </w:p>
    <w:p w14:paraId="3D0890E8" w14:textId="507A06B8" w:rsidR="00E86B27" w:rsidRDefault="00E86B27" w:rsidP="00E86B27">
      <w:pPr>
        <w:rPr>
          <w:lang w:eastAsia="en-GB"/>
        </w:rPr>
      </w:pPr>
      <w:r>
        <w:t>Voce di costo previsionale non formalizzata nel PEF.</w:t>
      </w:r>
    </w:p>
    <w:p w14:paraId="16C014CF" w14:textId="77777777" w:rsidR="00F2202A" w:rsidRDefault="00F2202A" w:rsidP="00F2202A">
      <w:pPr>
        <w:rPr>
          <w:lang w:eastAsia="en-GB"/>
        </w:rPr>
      </w:pPr>
    </w:p>
    <w:p w14:paraId="61EAFF25" w14:textId="77777777" w:rsidR="00027545" w:rsidRPr="00106034" w:rsidRDefault="00027545" w:rsidP="00F2202A">
      <w:pPr>
        <w:rPr>
          <w:lang w:eastAsia="en-GB"/>
        </w:rPr>
      </w:pPr>
    </w:p>
    <w:p w14:paraId="0F4B2641" w14:textId="77777777" w:rsidR="00F2202A" w:rsidRPr="00773DFA" w:rsidRDefault="000107B8" w:rsidP="00F2202A">
      <w:pPr>
        <w:pStyle w:val="Titolo3"/>
      </w:pPr>
      <w:bookmarkStart w:id="43" w:name="_Toc92569731"/>
      <w:r w:rsidRPr="000107B8">
        <w:t>Componente previsionale CQ</w:t>
      </w:r>
      <w:bookmarkEnd w:id="43"/>
      <w:r w:rsidR="00F2202A" w:rsidRPr="00773DFA">
        <w:t xml:space="preserve"> </w:t>
      </w:r>
    </w:p>
    <w:p w14:paraId="1F736A4D" w14:textId="77777777" w:rsidR="00E86B27" w:rsidRDefault="00E86B27" w:rsidP="00E86B27">
      <w:pPr>
        <w:rPr>
          <w:lang w:eastAsia="en-GB"/>
        </w:rPr>
      </w:pPr>
      <w:r>
        <w:t>Voce di costo previsionale non formalizzata nel PEF.</w:t>
      </w:r>
    </w:p>
    <w:p w14:paraId="2098A9AC" w14:textId="77777777" w:rsidR="00F2202A" w:rsidRDefault="00F2202A" w:rsidP="00F2202A">
      <w:pPr>
        <w:rPr>
          <w:lang w:eastAsia="en-GB"/>
        </w:rPr>
      </w:pPr>
    </w:p>
    <w:p w14:paraId="1BB1F61E" w14:textId="77777777" w:rsidR="00027545" w:rsidRPr="00773DFA" w:rsidRDefault="00027545" w:rsidP="00F2202A">
      <w:pPr>
        <w:rPr>
          <w:lang w:eastAsia="en-GB"/>
        </w:rPr>
      </w:pPr>
    </w:p>
    <w:p w14:paraId="153B8D15" w14:textId="77777777" w:rsidR="00F2202A" w:rsidRPr="00773DFA" w:rsidRDefault="00201E87" w:rsidP="00F2202A">
      <w:pPr>
        <w:pStyle w:val="Titolo3"/>
      </w:pPr>
      <w:bookmarkStart w:id="44" w:name="_Toc92569732"/>
      <w:r w:rsidRPr="00201E87">
        <w:lastRenderedPageBreak/>
        <w:t>Componente previsionale COI</w:t>
      </w:r>
      <w:bookmarkEnd w:id="44"/>
    </w:p>
    <w:p w14:paraId="28A00A3D" w14:textId="3917B1EB" w:rsidR="00302BDE" w:rsidRDefault="00302BDE" w:rsidP="00302BDE">
      <w:r w:rsidRPr="0071028E">
        <w:t>L’Ente Territorialmente Competente conferma la valorizzazione de</w:t>
      </w:r>
      <w:r>
        <w:t>lle componenti previsionali</w:t>
      </w:r>
      <w:r w:rsidRPr="0071028E">
        <w:t xml:space="preserve"> </w:t>
      </w:r>
      <w:r>
        <w:t>COI</w:t>
      </w:r>
      <w:r>
        <w:rPr>
          <w:vertAlign w:val="subscript"/>
        </w:rPr>
        <w:t>TV</w:t>
      </w:r>
      <w:r>
        <w:t xml:space="preserve"> e COI</w:t>
      </w:r>
      <w:r>
        <w:rPr>
          <w:vertAlign w:val="subscript"/>
        </w:rPr>
        <w:t>TF</w:t>
      </w:r>
      <w:r w:rsidRPr="0071028E">
        <w:t xml:space="preserve"> propost</w:t>
      </w:r>
      <w:r>
        <w:t>e</w:t>
      </w:r>
      <w:r w:rsidRPr="0071028E">
        <w:t xml:space="preserve"> dal gestore a</w:t>
      </w:r>
      <w:r>
        <w:t>l</w:t>
      </w:r>
      <w:r w:rsidRPr="0071028E">
        <w:t xml:space="preserve"> paragraf</w:t>
      </w:r>
      <w:r>
        <w:t>o</w:t>
      </w:r>
      <w:r w:rsidRPr="0071028E">
        <w:t xml:space="preserve"> 3.</w:t>
      </w:r>
      <w:r>
        <w:t>2</w:t>
      </w:r>
      <w:r w:rsidRPr="0071028E">
        <w:t>.</w:t>
      </w:r>
      <w:r>
        <w:t>3</w:t>
      </w:r>
      <w:r w:rsidRPr="0071028E">
        <w:t>.</w:t>
      </w:r>
    </w:p>
    <w:p w14:paraId="5D11512C" w14:textId="77777777" w:rsidR="00E86B27" w:rsidRDefault="00E86B27" w:rsidP="00302BDE"/>
    <w:p w14:paraId="1EB59510" w14:textId="77777777" w:rsidR="00302BDE" w:rsidRDefault="00302BDE" w:rsidP="00302BDE">
      <w:pPr>
        <w:rPr>
          <w:lang w:eastAsia="en-GB"/>
        </w:rPr>
      </w:pPr>
      <w:r w:rsidRPr="00CA136B">
        <w:t>In aggiunta a queste, l’ETC prevede un’ulteriore valorizzazione dei COI</w:t>
      </w:r>
      <w:r w:rsidRPr="00CA136B">
        <w:rPr>
          <w:vertAlign w:val="subscript"/>
        </w:rPr>
        <w:t>TF</w:t>
      </w:r>
      <w:r w:rsidRPr="00CA136B">
        <w:t xml:space="preserve"> per 80.000 €/anno su tutti i 4 anni 2022-2025 per i maggiori oneri dovuti all’ampliamento delle attività di controllo sistematico dei contribuenti volto a migliorare ulteriormente la fedeltà tributaria degli utenti del servizio</w:t>
      </w:r>
      <w:r w:rsidR="00027545" w:rsidRPr="00CA136B">
        <w:t>, così come indicato al paragrafo 5.1.2.</w:t>
      </w:r>
    </w:p>
    <w:p w14:paraId="3724448E" w14:textId="77777777" w:rsidR="00170628" w:rsidRDefault="00170628" w:rsidP="00DD0FC4"/>
    <w:p w14:paraId="0566C8D7" w14:textId="77777777" w:rsidR="00E00ACF" w:rsidRPr="00773DFA" w:rsidRDefault="00E00ACF" w:rsidP="00DD0FC4"/>
    <w:p w14:paraId="53339DFF" w14:textId="77777777" w:rsidR="00DD0FC4" w:rsidRPr="00773DFA" w:rsidRDefault="00201E87" w:rsidP="003540AD">
      <w:pPr>
        <w:pStyle w:val="Titolo2"/>
      </w:pPr>
      <w:bookmarkStart w:id="45" w:name="_Toc92569733"/>
      <w:r>
        <w:t>Ammortamenti delle immobilizzazioni</w:t>
      </w:r>
      <w:bookmarkEnd w:id="45"/>
    </w:p>
    <w:p w14:paraId="7E411AD2" w14:textId="77777777" w:rsidR="00C64BFA" w:rsidRDefault="00C64BFA" w:rsidP="00C64BFA">
      <w:pPr>
        <w:pStyle w:val="Default"/>
        <w:jc w:val="both"/>
      </w:pPr>
      <w:r w:rsidRPr="00C64BFA">
        <w:t xml:space="preserve">L’Ente territorialmente competente </w:t>
      </w:r>
      <w:r>
        <w:t>ha</w:t>
      </w:r>
      <w:r w:rsidRPr="00C64BFA">
        <w:t xml:space="preserve"> verific</w:t>
      </w:r>
      <w:r>
        <w:t xml:space="preserve">ato </w:t>
      </w:r>
      <w:r w:rsidRPr="00C64BFA">
        <w:t>le vite utili dei cespiti valorizzate dal</w:t>
      </w:r>
      <w:r w:rsidR="00AD003A">
        <w:t xml:space="preserve"> gestore</w:t>
      </w:r>
      <w:r w:rsidRPr="00C64BFA">
        <w:t>, con</w:t>
      </w:r>
      <w:r w:rsidR="00AD003A">
        <w:t>fermando i</w:t>
      </w:r>
      <w:r w:rsidRPr="00C64BFA">
        <w:t>l rispetto de</w:t>
      </w:r>
      <w:r w:rsidR="00AD003A">
        <w:t>i criteri di classificazione e di calcolo di cui all</w:t>
      </w:r>
      <w:r w:rsidRPr="00C64BFA">
        <w:t>e tabelle previste nell’articolo 15.2 e 15.3 del MTR-</w:t>
      </w:r>
      <w:r w:rsidR="00AD003A">
        <w:t>2.</w:t>
      </w:r>
    </w:p>
    <w:p w14:paraId="22AEECAB" w14:textId="370A9B4B" w:rsidR="00027545" w:rsidRDefault="00027545" w:rsidP="00DD0FC4">
      <w:pPr>
        <w:rPr>
          <w:lang w:eastAsia="en-GB"/>
        </w:rPr>
      </w:pPr>
    </w:p>
    <w:p w14:paraId="2CF45AB3" w14:textId="77777777" w:rsidR="00517198" w:rsidRDefault="00517198" w:rsidP="00DD0FC4">
      <w:pPr>
        <w:rPr>
          <w:lang w:eastAsia="en-GB"/>
        </w:rPr>
      </w:pPr>
    </w:p>
    <w:p w14:paraId="1C45AEA3" w14:textId="77777777" w:rsidR="002D332F" w:rsidRDefault="00201E87" w:rsidP="003540AD">
      <w:pPr>
        <w:pStyle w:val="Titolo2"/>
      </w:pPr>
      <w:bookmarkStart w:id="46" w:name="_Toc92569734"/>
      <w:r>
        <w:t xml:space="preserve">Valorizzazione dei fattori di </w:t>
      </w:r>
      <w:r w:rsidRPr="00A30F88">
        <w:rPr>
          <w:i/>
          <w:iCs w:val="0"/>
        </w:rPr>
        <w:t>sharing</w:t>
      </w:r>
      <w:bookmarkEnd w:id="46"/>
      <w:r w:rsidR="002D332F">
        <w:t xml:space="preserve"> </w:t>
      </w:r>
    </w:p>
    <w:p w14:paraId="7072D743" w14:textId="77777777" w:rsidR="00A30F88" w:rsidRPr="00773DFA" w:rsidRDefault="00522570" w:rsidP="00A30F88">
      <w:pPr>
        <w:pStyle w:val="Titolo3"/>
      </w:pPr>
      <w:bookmarkStart w:id="47" w:name="_Toc92569735"/>
      <w:r w:rsidRPr="00836E4C">
        <w:t>Determinazione del fattore b</w:t>
      </w:r>
      <w:bookmarkEnd w:id="47"/>
    </w:p>
    <w:p w14:paraId="00B927F2" w14:textId="77777777" w:rsidR="006C31DE" w:rsidRDefault="006C31DE" w:rsidP="006C31DE">
      <w:pPr>
        <w:pStyle w:val="commi"/>
        <w:numPr>
          <w:ilvl w:val="0"/>
          <w:numId w:val="0"/>
        </w:numPr>
        <w:spacing w:before="0" w:after="0"/>
      </w:pPr>
      <w:r>
        <w:t xml:space="preserve">Per l’individuazione del fattore b di sharing dei proventi, si è considerato un </w:t>
      </w:r>
      <w:r w:rsidRPr="00B4288B">
        <w:t>valore pari a 0,60; eventuali valori più favorevoli per il gestore potranno essere stabiliti congiuntamente per i prossimi</w:t>
      </w:r>
      <w:r>
        <w:t xml:space="preserve"> anni a seguito di fissazione di obiettivi condivisi di miglioramento della qualità e quantità di rifiuti raccolti in maniera differenziata.</w:t>
      </w:r>
    </w:p>
    <w:p w14:paraId="5A3E131A" w14:textId="77777777" w:rsidR="00A30F88" w:rsidRDefault="00A30F88" w:rsidP="00A30F88">
      <w:pPr>
        <w:rPr>
          <w:lang w:eastAsia="en-GB"/>
        </w:rPr>
      </w:pPr>
    </w:p>
    <w:p w14:paraId="4C810B28" w14:textId="77777777" w:rsidR="00A30F88" w:rsidRPr="00773DFA" w:rsidRDefault="00B03030" w:rsidP="00A30F88">
      <w:pPr>
        <w:pStyle w:val="Titolo3"/>
      </w:pPr>
      <w:bookmarkStart w:id="48" w:name="_Toc92569736"/>
      <w:r w:rsidRPr="00646163">
        <w:t>Determinazione del fattore ω</w:t>
      </w:r>
      <w:bookmarkEnd w:id="48"/>
      <w:r w:rsidR="00A30F88" w:rsidRPr="00773DFA">
        <w:t xml:space="preserve"> </w:t>
      </w:r>
    </w:p>
    <w:p w14:paraId="0D95EA68" w14:textId="77777777" w:rsidR="0011018A" w:rsidRPr="0011018A" w:rsidRDefault="0011018A" w:rsidP="0011018A">
      <w:pPr>
        <w:pStyle w:val="Default"/>
        <w:jc w:val="both"/>
      </w:pPr>
      <w:r w:rsidRPr="0011018A">
        <w:t>Il parametro ω</w:t>
      </w:r>
      <w:r w:rsidRPr="0011018A">
        <w:rPr>
          <w:rFonts w:ascii="Cambria Math" w:hAnsi="Cambria Math" w:cs="Cambria Math"/>
        </w:rPr>
        <w:t>𝑎</w:t>
      </w:r>
      <w:r w:rsidRPr="0011018A">
        <w:t xml:space="preserve"> utile alla determinazione del fattore di </w:t>
      </w:r>
      <w:r w:rsidRPr="0011018A">
        <w:rPr>
          <w:i/>
          <w:iCs/>
        </w:rPr>
        <w:t xml:space="preserve">sharing </w:t>
      </w:r>
      <w:r w:rsidRPr="0011018A">
        <w:t xml:space="preserve">dei proventi derivanti dai corrispettivi riconosciuti ai sistemi collettivi di compliance </w:t>
      </w:r>
      <w:r>
        <w:t>deve essere</w:t>
      </w:r>
      <w:r w:rsidRPr="0011018A">
        <w:t xml:space="preserve"> quantificato sulla base delle valutazioni dal medesimo compiute in merito: </w:t>
      </w:r>
    </w:p>
    <w:p w14:paraId="4B4E4856" w14:textId="77777777" w:rsidR="0011018A" w:rsidRDefault="0011018A" w:rsidP="004251A3">
      <w:pPr>
        <w:pStyle w:val="Paragrafoelenco"/>
        <w:numPr>
          <w:ilvl w:val="0"/>
          <w:numId w:val="14"/>
        </w:numPr>
        <w:spacing w:after="147"/>
        <w:jc w:val="both"/>
        <w:rPr>
          <w:sz w:val="24"/>
          <w:szCs w:val="24"/>
        </w:rPr>
      </w:pPr>
      <w:r w:rsidRPr="0011018A">
        <w:rPr>
          <w:sz w:val="24"/>
          <w:szCs w:val="24"/>
          <w:lang w:eastAsia="en-GB"/>
        </w:rPr>
        <w:t>al rispetto degli obiettivi di raccolta differenziata raggiunti;</w:t>
      </w:r>
    </w:p>
    <w:p w14:paraId="1539D9B2" w14:textId="77777777" w:rsidR="0011018A" w:rsidRPr="0011018A" w:rsidRDefault="0011018A" w:rsidP="004251A3">
      <w:pPr>
        <w:pStyle w:val="Paragrafoelenco"/>
        <w:numPr>
          <w:ilvl w:val="0"/>
          <w:numId w:val="14"/>
        </w:numPr>
        <w:spacing w:after="147"/>
        <w:jc w:val="both"/>
        <w:rPr>
          <w:sz w:val="24"/>
          <w:szCs w:val="24"/>
        </w:rPr>
      </w:pPr>
      <w:r w:rsidRPr="0011018A">
        <w:rPr>
          <w:sz w:val="24"/>
          <w:szCs w:val="24"/>
        </w:rPr>
        <w:t>al livello di efficacia delle attività di preparazione per il riutilizzo e il riciclo</w:t>
      </w:r>
      <w:r>
        <w:rPr>
          <w:sz w:val="24"/>
          <w:szCs w:val="24"/>
        </w:rPr>
        <w:t>.</w:t>
      </w:r>
    </w:p>
    <w:p w14:paraId="67613BF5" w14:textId="77777777" w:rsidR="0011018A" w:rsidRPr="0011018A" w:rsidRDefault="0024059E" w:rsidP="0011018A">
      <w:pPr>
        <w:pStyle w:val="Default"/>
        <w:jc w:val="both"/>
        <w:rPr>
          <w:color w:val="auto"/>
        </w:rPr>
      </w:pPr>
      <w:r>
        <w:rPr>
          <w:color w:val="auto"/>
        </w:rPr>
        <w:t xml:space="preserve">L’Ente Territorialmente Competente ha effettuato le valutazioni in merito ai due obiettivi sopra evidenziati scegliendo il valore dei parametri </w:t>
      </w:r>
      <w:r w:rsidRPr="0011018A">
        <w:rPr>
          <w:color w:val="auto"/>
        </w:rPr>
        <w:t>γ</w:t>
      </w:r>
      <w:r>
        <w:rPr>
          <w:color w:val="auto"/>
        </w:rPr>
        <w:t>1</w:t>
      </w:r>
      <w:r w:rsidRPr="0011018A">
        <w:rPr>
          <w:color w:val="auto"/>
        </w:rPr>
        <w:t>,</w:t>
      </w:r>
      <w:r w:rsidRPr="0011018A">
        <w:rPr>
          <w:rFonts w:ascii="Cambria Math" w:hAnsi="Cambria Math" w:cs="Cambria Math"/>
          <w:color w:val="auto"/>
        </w:rPr>
        <w:t>𝑎</w:t>
      </w:r>
      <w:r>
        <w:rPr>
          <w:rFonts w:ascii="Cambria Math" w:hAnsi="Cambria Math" w:cs="Cambria Math"/>
          <w:color w:val="auto"/>
        </w:rPr>
        <w:t xml:space="preserve"> e </w:t>
      </w:r>
      <w:r w:rsidRPr="0011018A">
        <w:rPr>
          <w:color w:val="auto"/>
        </w:rPr>
        <w:t>γ2,</w:t>
      </w:r>
      <w:r w:rsidRPr="0011018A">
        <w:rPr>
          <w:rFonts w:ascii="Cambria Math" w:hAnsi="Cambria Math" w:cs="Cambria Math"/>
          <w:color w:val="auto"/>
        </w:rPr>
        <w:t>𝑎</w:t>
      </w:r>
      <w:r w:rsidRPr="0024059E">
        <w:rPr>
          <w:color w:val="auto"/>
        </w:rPr>
        <w:t xml:space="preserve"> così come illustrato nel precedente paragrafo 5.1.1.</w:t>
      </w:r>
    </w:p>
    <w:p w14:paraId="18460BFC" w14:textId="77777777" w:rsidR="0011018A" w:rsidRPr="0011018A" w:rsidRDefault="0011018A" w:rsidP="0024059E">
      <w:pPr>
        <w:pStyle w:val="Default"/>
        <w:jc w:val="both"/>
      </w:pPr>
      <w:r w:rsidRPr="0011018A">
        <w:rPr>
          <w:color w:val="auto"/>
        </w:rPr>
        <w:t xml:space="preserve">Sulla base delle valutazioni </w:t>
      </w:r>
      <w:r w:rsidR="0024059E">
        <w:rPr>
          <w:color w:val="auto"/>
        </w:rPr>
        <w:t>effettuate</w:t>
      </w:r>
      <w:r w:rsidRPr="0011018A">
        <w:rPr>
          <w:color w:val="auto"/>
        </w:rPr>
        <w:t>, il parametro ω</w:t>
      </w:r>
      <w:r w:rsidRPr="0011018A">
        <w:rPr>
          <w:rFonts w:ascii="Cambria Math" w:hAnsi="Cambria Math" w:cs="Cambria Math"/>
          <w:color w:val="auto"/>
        </w:rPr>
        <w:t>𝑎</w:t>
      </w:r>
      <w:r w:rsidRPr="0011018A">
        <w:rPr>
          <w:color w:val="auto"/>
        </w:rPr>
        <w:t xml:space="preserve"> può assumere i valori riportati nella tabella che segue:</w:t>
      </w:r>
    </w:p>
    <w:p w14:paraId="52467E30" w14:textId="77777777" w:rsidR="0011018A" w:rsidRPr="0011018A" w:rsidRDefault="0011018A" w:rsidP="0011018A">
      <w:pPr>
        <w:pStyle w:val="Default"/>
        <w:jc w:val="both"/>
        <w:rPr>
          <w:color w:val="auto"/>
        </w:rPr>
      </w:pPr>
    </w:p>
    <w:tbl>
      <w:tblPr>
        <w:tblW w:w="6237" w:type="dxa"/>
        <w:jc w:val="center"/>
        <w:tblCellMar>
          <w:left w:w="70" w:type="dxa"/>
          <w:right w:w="70" w:type="dxa"/>
        </w:tblCellMar>
        <w:tblLook w:val="04A0" w:firstRow="1" w:lastRow="0" w:firstColumn="1" w:lastColumn="0" w:noHBand="0" w:noVBand="1"/>
      </w:tblPr>
      <w:tblGrid>
        <w:gridCol w:w="616"/>
        <w:gridCol w:w="1794"/>
        <w:gridCol w:w="1985"/>
        <w:gridCol w:w="1842"/>
      </w:tblGrid>
      <w:tr w:rsidR="0011018A" w:rsidRPr="0011018A" w14:paraId="356EF14B" w14:textId="77777777" w:rsidTr="0011018A">
        <w:trPr>
          <w:trHeight w:val="300"/>
          <w:jc w:val="center"/>
        </w:trPr>
        <w:tc>
          <w:tcPr>
            <w:tcW w:w="616" w:type="dxa"/>
            <w:tcBorders>
              <w:top w:val="nil"/>
              <w:left w:val="nil"/>
              <w:bottom w:val="single" w:sz="4" w:space="0" w:color="808080"/>
              <w:right w:val="nil"/>
            </w:tcBorders>
            <w:shd w:val="clear" w:color="000000" w:fill="FFFFFF"/>
            <w:noWrap/>
            <w:vAlign w:val="bottom"/>
            <w:hideMark/>
          </w:tcPr>
          <w:p w14:paraId="7563E7C1" w14:textId="77777777" w:rsidR="0011018A" w:rsidRPr="0011018A" w:rsidRDefault="0011018A" w:rsidP="0011018A">
            <w:pPr>
              <w:jc w:val="left"/>
              <w:rPr>
                <w:rFonts w:ascii="Calibri" w:hAnsi="Calibri" w:cs="Calibri"/>
                <w:color w:val="000000"/>
                <w:sz w:val="22"/>
                <w:szCs w:val="22"/>
              </w:rPr>
            </w:pPr>
            <w:r w:rsidRPr="0011018A">
              <w:rPr>
                <w:rFonts w:ascii="Calibri" w:hAnsi="Calibri" w:cs="Calibri"/>
                <w:color w:val="000000"/>
                <w:sz w:val="22"/>
                <w:szCs w:val="22"/>
              </w:rPr>
              <w:t> </w:t>
            </w:r>
          </w:p>
        </w:tc>
        <w:tc>
          <w:tcPr>
            <w:tcW w:w="1794" w:type="dxa"/>
            <w:tcBorders>
              <w:top w:val="nil"/>
              <w:left w:val="nil"/>
              <w:bottom w:val="single" w:sz="4" w:space="0" w:color="808080"/>
              <w:right w:val="single" w:sz="4" w:space="0" w:color="808080"/>
            </w:tcBorders>
            <w:shd w:val="clear" w:color="000000" w:fill="FFFFFF"/>
            <w:noWrap/>
            <w:vAlign w:val="bottom"/>
            <w:hideMark/>
          </w:tcPr>
          <w:p w14:paraId="14BEBBAC" w14:textId="77777777" w:rsidR="0011018A" w:rsidRPr="0011018A" w:rsidRDefault="0011018A" w:rsidP="0011018A">
            <w:pPr>
              <w:jc w:val="left"/>
              <w:rPr>
                <w:rFonts w:ascii="Calibri" w:hAnsi="Calibri" w:cs="Calibri"/>
                <w:color w:val="000000"/>
                <w:sz w:val="22"/>
                <w:szCs w:val="22"/>
              </w:rPr>
            </w:pPr>
            <w:r w:rsidRPr="0011018A">
              <w:rPr>
                <w:rFonts w:ascii="Calibri" w:hAnsi="Calibri" w:cs="Calibri"/>
                <w:color w:val="000000"/>
                <w:sz w:val="22"/>
                <w:szCs w:val="22"/>
              </w:rPr>
              <w:t> </w:t>
            </w:r>
          </w:p>
        </w:tc>
        <w:tc>
          <w:tcPr>
            <w:tcW w:w="1985" w:type="dxa"/>
            <w:tcBorders>
              <w:top w:val="single" w:sz="4" w:space="0" w:color="808080"/>
              <w:left w:val="nil"/>
              <w:bottom w:val="single" w:sz="4" w:space="0" w:color="808080"/>
              <w:right w:val="single" w:sz="4" w:space="0" w:color="808080"/>
            </w:tcBorders>
            <w:shd w:val="clear" w:color="000000" w:fill="E7E6E6"/>
            <w:noWrap/>
            <w:vAlign w:val="bottom"/>
            <w:hideMark/>
          </w:tcPr>
          <w:p w14:paraId="74325FF7" w14:textId="77777777" w:rsidR="0011018A" w:rsidRPr="0011018A" w:rsidRDefault="0011018A" w:rsidP="0011018A">
            <w:pPr>
              <w:jc w:val="center"/>
              <w:rPr>
                <w:rFonts w:ascii="Calibri" w:hAnsi="Calibri" w:cs="Calibri"/>
                <w:color w:val="000000"/>
                <w:sz w:val="22"/>
                <w:szCs w:val="22"/>
              </w:rPr>
            </w:pPr>
            <w:r w:rsidRPr="0011018A">
              <w:rPr>
                <w:rFonts w:ascii="Calibri" w:hAnsi="Calibri" w:cs="Calibri"/>
                <w:color w:val="000000"/>
                <w:sz w:val="22"/>
                <w:szCs w:val="22"/>
              </w:rPr>
              <w:t>-0,2 ≤ γ1 ≤ 0</w:t>
            </w:r>
          </w:p>
        </w:tc>
        <w:tc>
          <w:tcPr>
            <w:tcW w:w="1842" w:type="dxa"/>
            <w:tcBorders>
              <w:top w:val="single" w:sz="4" w:space="0" w:color="808080"/>
              <w:left w:val="nil"/>
              <w:bottom w:val="single" w:sz="4" w:space="0" w:color="auto"/>
              <w:right w:val="single" w:sz="4" w:space="0" w:color="808080"/>
            </w:tcBorders>
            <w:shd w:val="clear" w:color="000000" w:fill="E7E6E6"/>
            <w:noWrap/>
            <w:vAlign w:val="bottom"/>
            <w:hideMark/>
          </w:tcPr>
          <w:p w14:paraId="4B98868F" w14:textId="77777777" w:rsidR="0011018A" w:rsidRPr="0011018A" w:rsidRDefault="0011018A" w:rsidP="0011018A">
            <w:pPr>
              <w:jc w:val="center"/>
              <w:rPr>
                <w:rFonts w:ascii="Calibri" w:hAnsi="Calibri" w:cs="Calibri"/>
                <w:color w:val="000000"/>
                <w:sz w:val="22"/>
                <w:szCs w:val="22"/>
              </w:rPr>
            </w:pPr>
            <w:r w:rsidRPr="0011018A">
              <w:rPr>
                <w:rFonts w:ascii="Calibri" w:hAnsi="Calibri" w:cs="Calibri"/>
                <w:color w:val="000000"/>
                <w:sz w:val="22"/>
                <w:szCs w:val="22"/>
              </w:rPr>
              <w:t>-0,4 ≤ γ1 ≤ -0,2</w:t>
            </w:r>
          </w:p>
        </w:tc>
      </w:tr>
      <w:tr w:rsidR="0011018A" w:rsidRPr="0011018A" w14:paraId="655FA457" w14:textId="77777777" w:rsidTr="0011018A">
        <w:trPr>
          <w:trHeight w:val="300"/>
          <w:jc w:val="center"/>
        </w:trPr>
        <w:tc>
          <w:tcPr>
            <w:tcW w:w="2410"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7C2B9FD0" w14:textId="77777777" w:rsidR="0011018A" w:rsidRPr="0011018A" w:rsidRDefault="0011018A" w:rsidP="0011018A">
            <w:pPr>
              <w:jc w:val="center"/>
              <w:rPr>
                <w:rFonts w:ascii="Calibri" w:hAnsi="Calibri" w:cs="Calibri"/>
                <w:color w:val="000000"/>
                <w:sz w:val="22"/>
                <w:szCs w:val="22"/>
              </w:rPr>
            </w:pPr>
            <w:r w:rsidRPr="0011018A">
              <w:rPr>
                <w:rFonts w:ascii="Calibri" w:hAnsi="Calibri" w:cs="Calibri"/>
                <w:color w:val="000000"/>
                <w:sz w:val="22"/>
                <w:szCs w:val="22"/>
              </w:rPr>
              <w:t>-0,15 ≤ γ2 ≤ 0</w:t>
            </w:r>
          </w:p>
        </w:tc>
        <w:tc>
          <w:tcPr>
            <w:tcW w:w="1985" w:type="dxa"/>
            <w:tcBorders>
              <w:top w:val="single" w:sz="4" w:space="0" w:color="808080"/>
              <w:left w:val="single" w:sz="4" w:space="0" w:color="808080"/>
              <w:bottom w:val="single" w:sz="4" w:space="0" w:color="808080"/>
              <w:right w:val="single" w:sz="4" w:space="0" w:color="auto"/>
            </w:tcBorders>
            <w:shd w:val="clear" w:color="auto" w:fill="auto"/>
            <w:noWrap/>
            <w:vAlign w:val="bottom"/>
            <w:hideMark/>
          </w:tcPr>
          <w:p w14:paraId="309ED909" w14:textId="77777777" w:rsidR="0011018A" w:rsidRPr="0011018A" w:rsidRDefault="0011018A" w:rsidP="0011018A">
            <w:pPr>
              <w:jc w:val="center"/>
              <w:rPr>
                <w:rFonts w:ascii="Calibri" w:hAnsi="Calibri" w:cs="Calibri"/>
                <w:color w:val="000000"/>
                <w:sz w:val="22"/>
                <w:szCs w:val="22"/>
              </w:rPr>
            </w:pPr>
            <w:r w:rsidRPr="0011018A">
              <w:rPr>
                <w:rFonts w:ascii="Calibri" w:hAnsi="Calibri" w:cs="Calibri"/>
                <w:color w:val="000000"/>
                <w:sz w:val="22"/>
                <w:szCs w:val="22"/>
              </w:rPr>
              <w:t>ωa = 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F90C74" w14:textId="77777777" w:rsidR="0011018A" w:rsidRPr="0011018A" w:rsidRDefault="0011018A" w:rsidP="0011018A">
            <w:pPr>
              <w:jc w:val="center"/>
              <w:rPr>
                <w:rFonts w:ascii="Calibri" w:hAnsi="Calibri" w:cs="Calibri"/>
                <w:color w:val="000000"/>
                <w:sz w:val="22"/>
                <w:szCs w:val="22"/>
              </w:rPr>
            </w:pPr>
            <w:r w:rsidRPr="0011018A">
              <w:rPr>
                <w:rFonts w:ascii="Calibri" w:hAnsi="Calibri" w:cs="Calibri"/>
                <w:color w:val="000000"/>
                <w:sz w:val="22"/>
                <w:szCs w:val="22"/>
              </w:rPr>
              <w:t>ωa = 0,3</w:t>
            </w:r>
          </w:p>
        </w:tc>
      </w:tr>
      <w:tr w:rsidR="0011018A" w:rsidRPr="0011018A" w14:paraId="24102F81" w14:textId="77777777" w:rsidTr="0011018A">
        <w:trPr>
          <w:trHeight w:val="300"/>
          <w:jc w:val="center"/>
        </w:trPr>
        <w:tc>
          <w:tcPr>
            <w:tcW w:w="2410"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21309485" w14:textId="77777777" w:rsidR="0011018A" w:rsidRPr="0011018A" w:rsidRDefault="0011018A" w:rsidP="0011018A">
            <w:pPr>
              <w:jc w:val="center"/>
              <w:rPr>
                <w:rFonts w:ascii="Calibri" w:hAnsi="Calibri" w:cs="Calibri"/>
                <w:color w:val="000000"/>
                <w:sz w:val="22"/>
                <w:szCs w:val="22"/>
              </w:rPr>
            </w:pPr>
            <w:r w:rsidRPr="0011018A">
              <w:rPr>
                <w:rFonts w:ascii="Calibri" w:hAnsi="Calibri" w:cs="Calibri"/>
                <w:color w:val="000000"/>
                <w:sz w:val="22"/>
                <w:szCs w:val="22"/>
              </w:rPr>
              <w:t>-0,3 ≤ γ2 ≤ -0,15</w:t>
            </w:r>
          </w:p>
        </w:tc>
        <w:tc>
          <w:tcPr>
            <w:tcW w:w="1985" w:type="dxa"/>
            <w:tcBorders>
              <w:top w:val="single" w:sz="4" w:space="0" w:color="808080"/>
              <w:left w:val="nil"/>
              <w:bottom w:val="single" w:sz="4" w:space="0" w:color="808080"/>
              <w:right w:val="single" w:sz="4" w:space="0" w:color="auto"/>
            </w:tcBorders>
            <w:shd w:val="clear" w:color="000000" w:fill="FFFFFF"/>
            <w:noWrap/>
            <w:vAlign w:val="bottom"/>
            <w:hideMark/>
          </w:tcPr>
          <w:p w14:paraId="5FBE6FE8" w14:textId="77777777" w:rsidR="0011018A" w:rsidRPr="0011018A" w:rsidRDefault="0011018A" w:rsidP="0011018A">
            <w:pPr>
              <w:jc w:val="center"/>
              <w:rPr>
                <w:rFonts w:ascii="Calibri" w:hAnsi="Calibri" w:cs="Calibri"/>
                <w:color w:val="000000"/>
                <w:sz w:val="22"/>
                <w:szCs w:val="22"/>
              </w:rPr>
            </w:pPr>
            <w:r w:rsidRPr="0011018A">
              <w:rPr>
                <w:rFonts w:ascii="Calibri" w:hAnsi="Calibri" w:cs="Calibri"/>
                <w:color w:val="000000"/>
                <w:sz w:val="22"/>
                <w:szCs w:val="22"/>
              </w:rPr>
              <w:t>ωa = 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D7FCF6" w14:textId="77777777" w:rsidR="0011018A" w:rsidRPr="0011018A" w:rsidRDefault="0011018A" w:rsidP="0011018A">
            <w:pPr>
              <w:jc w:val="center"/>
              <w:rPr>
                <w:rFonts w:ascii="Calibri" w:hAnsi="Calibri" w:cs="Calibri"/>
                <w:color w:val="000000"/>
                <w:sz w:val="22"/>
                <w:szCs w:val="22"/>
              </w:rPr>
            </w:pPr>
            <w:r w:rsidRPr="0011018A">
              <w:rPr>
                <w:rFonts w:ascii="Calibri" w:hAnsi="Calibri" w:cs="Calibri"/>
                <w:color w:val="000000"/>
                <w:sz w:val="22"/>
                <w:szCs w:val="22"/>
              </w:rPr>
              <w:t>ωa = 0,4</w:t>
            </w:r>
          </w:p>
        </w:tc>
      </w:tr>
    </w:tbl>
    <w:p w14:paraId="1BFB1BF1" w14:textId="77777777" w:rsidR="0011018A" w:rsidRDefault="0011018A" w:rsidP="0011018A">
      <w:pPr>
        <w:pStyle w:val="Default"/>
        <w:rPr>
          <w:sz w:val="23"/>
          <w:szCs w:val="23"/>
        </w:rPr>
      </w:pPr>
    </w:p>
    <w:p w14:paraId="0B6BA93F" w14:textId="77777777" w:rsidR="00A30F88" w:rsidRPr="00773DFA" w:rsidRDefault="0024059E" w:rsidP="0024059E">
      <w:pPr>
        <w:pStyle w:val="Default"/>
        <w:jc w:val="both"/>
        <w:rPr>
          <w:lang w:eastAsia="en-GB"/>
        </w:rPr>
      </w:pPr>
      <w:r>
        <w:rPr>
          <w:color w:val="auto"/>
        </w:rPr>
        <w:t xml:space="preserve">Ne discende un valore di </w:t>
      </w:r>
      <w:r w:rsidRPr="0011018A">
        <w:rPr>
          <w:color w:val="auto"/>
        </w:rPr>
        <w:t>ω</w:t>
      </w:r>
      <w:r w:rsidRPr="0011018A">
        <w:rPr>
          <w:rFonts w:ascii="Cambria Math" w:hAnsi="Cambria Math" w:cs="Cambria Math"/>
          <w:color w:val="auto"/>
        </w:rPr>
        <w:t>𝑎</w:t>
      </w:r>
      <w:r w:rsidRPr="0011018A">
        <w:rPr>
          <w:color w:val="auto"/>
        </w:rPr>
        <w:t xml:space="preserve"> </w:t>
      </w:r>
      <w:r>
        <w:rPr>
          <w:color w:val="auto"/>
        </w:rPr>
        <w:t>pari a 0,1 per le annualità 2022-2025.</w:t>
      </w:r>
    </w:p>
    <w:p w14:paraId="3C488E4F" w14:textId="77777777" w:rsidR="002D332F" w:rsidRDefault="002D332F" w:rsidP="002D332F"/>
    <w:p w14:paraId="46883DEC" w14:textId="77777777" w:rsidR="002D332F" w:rsidRDefault="00522570" w:rsidP="003540AD">
      <w:pPr>
        <w:pStyle w:val="Titolo2"/>
      </w:pPr>
      <w:bookmarkStart w:id="49" w:name="_Toc92569737"/>
      <w:r>
        <w:t>Conguagli</w:t>
      </w:r>
      <w:bookmarkEnd w:id="49"/>
    </w:p>
    <w:p w14:paraId="73BC5CAD" w14:textId="77777777" w:rsidR="000971DB" w:rsidRDefault="00F24ED3" w:rsidP="000971DB">
      <w:r w:rsidRPr="00F24ED3">
        <w:t xml:space="preserve">Con riferimento a ciascun anno a del secondo periodo regolatorio 2022-2025, l’Ente territorialmente competente </w:t>
      </w:r>
      <w:r>
        <w:t xml:space="preserve">ha </w:t>
      </w:r>
      <w:r w:rsidRPr="00F24ED3">
        <w:t>indica</w:t>
      </w:r>
      <w:r>
        <w:t>to</w:t>
      </w:r>
      <w:r w:rsidRPr="00F24ED3">
        <w:t xml:space="preserve"> il valore complessivo delle componenti a conguaglio </w:t>
      </w:r>
      <w:r w:rsidRPr="00F24ED3">
        <w:rPr>
          <w:rFonts w:ascii="Cambria Math" w:hAnsi="Cambria Math" w:cs="Cambria Math"/>
        </w:rPr>
        <w:t>𝑅𝐶𝑡𝑜𝑡𝑇𝑉</w:t>
      </w:r>
      <w:r w:rsidRPr="00F24ED3">
        <w:t>,</w:t>
      </w:r>
      <w:r w:rsidRPr="00F24ED3">
        <w:rPr>
          <w:rFonts w:ascii="Cambria Math" w:hAnsi="Cambria Math" w:cs="Cambria Math"/>
        </w:rPr>
        <w:t>𝑎</w:t>
      </w:r>
      <w:r w:rsidRPr="00F24ED3">
        <w:t xml:space="preserve"> e </w:t>
      </w:r>
      <w:r w:rsidRPr="00F24ED3">
        <w:rPr>
          <w:rFonts w:ascii="Cambria Math" w:hAnsi="Cambria Math" w:cs="Cambria Math"/>
        </w:rPr>
        <w:lastRenderedPageBreak/>
        <w:t>𝑅𝐶𝑡𝑜𝑡𝑇𝐹</w:t>
      </w:r>
      <w:r w:rsidRPr="00F24ED3">
        <w:t>,</w:t>
      </w:r>
      <w:r w:rsidRPr="00F24ED3">
        <w:rPr>
          <w:rFonts w:ascii="Cambria Math" w:hAnsi="Cambria Math" w:cs="Cambria Math"/>
        </w:rPr>
        <w:t>𝑎</w:t>
      </w:r>
      <w:r w:rsidRPr="00F24ED3">
        <w:t xml:space="preserve"> riferite alle annualità pregresse</w:t>
      </w:r>
      <w:r>
        <w:t xml:space="preserve">. Esse coincidono con </w:t>
      </w:r>
      <w:r w:rsidR="00413BB7">
        <w:t>le</w:t>
      </w:r>
      <w:r w:rsidRPr="00F24ED3">
        <w:t xml:space="preserve"> </w:t>
      </w:r>
      <w:r w:rsidR="00413BB7">
        <w:t>q</w:t>
      </w:r>
      <w:r w:rsidR="00413BB7" w:rsidRPr="00413BB7">
        <w:t>uot</w:t>
      </w:r>
      <w:r w:rsidR="00413BB7">
        <w:t>e</w:t>
      </w:r>
      <w:r w:rsidR="00413BB7" w:rsidRPr="00413BB7">
        <w:t xml:space="preserve"> del recupero delle componenti residue a conguaglio relative ai costi variabili</w:t>
      </w:r>
      <w:r w:rsidR="00413BB7">
        <w:t xml:space="preserve"> e fisse</w:t>
      </w:r>
      <w:r w:rsidR="00413BB7" w:rsidRPr="00413BB7">
        <w:t xml:space="preserve"> riferite agli anni 2018 e 2019</w:t>
      </w:r>
      <w:r w:rsidR="00413BB7">
        <w:t>.</w:t>
      </w:r>
    </w:p>
    <w:p w14:paraId="1C3C3FCD" w14:textId="77777777" w:rsidR="00CE5C3A" w:rsidRDefault="00CE5C3A" w:rsidP="00595646"/>
    <w:p w14:paraId="4E686520" w14:textId="77777777" w:rsidR="00E00ACF" w:rsidRDefault="00E00ACF" w:rsidP="00595646"/>
    <w:p w14:paraId="15FC6BAC" w14:textId="77777777" w:rsidR="00203904" w:rsidRDefault="00522570" w:rsidP="00203904">
      <w:pPr>
        <w:pStyle w:val="Titolo2"/>
      </w:pPr>
      <w:bookmarkStart w:id="50" w:name="_Toc92569738"/>
      <w:r>
        <w:t>Valutazioni in ordine all’equilibrio economico finanziario</w:t>
      </w:r>
      <w:bookmarkEnd w:id="50"/>
      <w:r w:rsidR="00203904" w:rsidRPr="00203904">
        <w:rPr>
          <w:i/>
        </w:rPr>
        <w:t xml:space="preserve"> </w:t>
      </w:r>
    </w:p>
    <w:p w14:paraId="6D4AB172" w14:textId="3CFD7FEF" w:rsidR="005D066F" w:rsidRPr="00896FF3" w:rsidRDefault="005D066F" w:rsidP="005D066F">
      <w:pPr>
        <w:rPr>
          <w:lang w:eastAsia="en-GB"/>
        </w:rPr>
      </w:pPr>
      <w:r>
        <w:rPr>
          <w:lang w:eastAsia="en-GB"/>
        </w:rPr>
        <w:t>Il gestore ed il Comune,</w:t>
      </w:r>
      <w:r w:rsidRPr="00896FF3">
        <w:rPr>
          <w:lang w:eastAsia="en-GB"/>
        </w:rPr>
        <w:t xml:space="preserve"> in fase di validazione</w:t>
      </w:r>
      <w:r>
        <w:rPr>
          <w:lang w:eastAsia="en-GB"/>
        </w:rPr>
        <w:t>,</w:t>
      </w:r>
      <w:r w:rsidRPr="00896FF3">
        <w:rPr>
          <w:lang w:eastAsia="en-GB"/>
        </w:rPr>
        <w:t xml:space="preserve"> non ha</w:t>
      </w:r>
      <w:r>
        <w:rPr>
          <w:lang w:eastAsia="en-GB"/>
        </w:rPr>
        <w:t>nno</w:t>
      </w:r>
      <w:r w:rsidRPr="00896FF3">
        <w:rPr>
          <w:lang w:eastAsia="en-GB"/>
        </w:rPr>
        <w:t xml:space="preserve"> evidenziato una situazione di squilibrio nella gestione economico-finanziaria dei rifiuti urbani in quanto i costi del servizio – contrattualmente definiti – sono sempre stati determinati in fase preventiva e consuntiva. </w:t>
      </w:r>
      <w:r>
        <w:rPr>
          <w:lang w:eastAsia="en-GB"/>
        </w:rPr>
        <w:t>I</w:t>
      </w:r>
      <w:r w:rsidRPr="00896FF3">
        <w:rPr>
          <w:lang w:eastAsia="en-GB"/>
        </w:rPr>
        <w:t xml:space="preserve"> costi del servizio sono pertanto oggetto di monitoraggio puntuale in coerenza al contratto vigente.</w:t>
      </w:r>
    </w:p>
    <w:p w14:paraId="65198D4E" w14:textId="6B4DE5B7" w:rsidR="003B640C" w:rsidRDefault="003B640C" w:rsidP="00731DBA">
      <w:r>
        <w:br w:type="page"/>
      </w:r>
    </w:p>
    <w:p w14:paraId="204EDC47" w14:textId="77777777" w:rsidR="00C87E4E" w:rsidRDefault="00731DBA" w:rsidP="003540AD">
      <w:pPr>
        <w:pStyle w:val="Titolo2"/>
      </w:pPr>
      <w:bookmarkStart w:id="51" w:name="_Toc92569739"/>
      <w:r>
        <w:lastRenderedPageBreak/>
        <w:t>Rinuncia al riconoscimento di alcune componenti di costo</w:t>
      </w:r>
      <w:bookmarkEnd w:id="51"/>
      <w:r w:rsidR="00C87E4E">
        <w:t xml:space="preserve"> </w:t>
      </w:r>
    </w:p>
    <w:p w14:paraId="0C655BB3" w14:textId="7ED84AB1" w:rsidR="00731DBA" w:rsidRDefault="00494634" w:rsidP="00731DBA">
      <w:r>
        <w:t>Nel tool sono state formalizzate le migliori condizioni contrattuali definite tra Aprica e il Comune di Brescia</w:t>
      </w:r>
      <w:r w:rsidR="00635B94">
        <w:t xml:space="preserve">, che hanno determinato detrazioni ai costi efficienti sia per la parte variabile che per la parte fissa </w:t>
      </w:r>
      <w:r w:rsidR="003B640C">
        <w:t xml:space="preserve">(si riporta a titolo esemplificativo il caso dell’anno 2022 </w:t>
      </w:r>
      <w:r w:rsidR="00635B94">
        <w:t>rimandando al tool per le altre annualità</w:t>
      </w:r>
      <w:r w:rsidR="003B640C">
        <w:t>)</w:t>
      </w:r>
      <w:r>
        <w:t>:</w:t>
      </w:r>
    </w:p>
    <w:p w14:paraId="2C6CEB80" w14:textId="770DD659" w:rsidR="00494634" w:rsidRDefault="00494634" w:rsidP="00731DBA"/>
    <w:p w14:paraId="4F953159" w14:textId="24313DA5" w:rsidR="003B640C" w:rsidRDefault="003B640C" w:rsidP="00731DBA">
      <w:r w:rsidRPr="003B640C">
        <w:rPr>
          <w:noProof/>
        </w:rPr>
        <w:drawing>
          <wp:inline distT="0" distB="0" distL="0" distR="0" wp14:anchorId="1016972B" wp14:editId="4DB21740">
            <wp:extent cx="5620534" cy="34294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20534" cy="342948"/>
                    </a:xfrm>
                    <a:prstGeom prst="rect">
                      <a:avLst/>
                    </a:prstGeom>
                  </pic:spPr>
                </pic:pic>
              </a:graphicData>
            </a:graphic>
          </wp:inline>
        </w:drawing>
      </w:r>
    </w:p>
    <w:p w14:paraId="277B9594" w14:textId="2D7EBB87" w:rsidR="00731DBA" w:rsidRDefault="003B640C" w:rsidP="003B640C">
      <w:pPr>
        <w:ind w:left="-284"/>
      </w:pPr>
      <w:r w:rsidRPr="003B640C">
        <w:rPr>
          <w:noProof/>
        </w:rPr>
        <w:drawing>
          <wp:inline distT="0" distB="0" distL="0" distR="0" wp14:anchorId="51501A57" wp14:editId="63B3A115">
            <wp:extent cx="6491456" cy="4945711"/>
            <wp:effectExtent l="0" t="0" r="5080" b="762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95393" cy="4948711"/>
                    </a:xfrm>
                    <a:prstGeom prst="rect">
                      <a:avLst/>
                    </a:prstGeom>
                    <a:noFill/>
                    <a:ln>
                      <a:noFill/>
                    </a:ln>
                  </pic:spPr>
                </pic:pic>
              </a:graphicData>
            </a:graphic>
          </wp:inline>
        </w:drawing>
      </w:r>
    </w:p>
    <w:p w14:paraId="4B262768" w14:textId="14746735" w:rsidR="00E00ACF" w:rsidRDefault="00E00ACF" w:rsidP="00731DBA"/>
    <w:p w14:paraId="50A80A1C" w14:textId="5998B44E" w:rsidR="003B640C" w:rsidRDefault="003B640C" w:rsidP="00731DBA"/>
    <w:p w14:paraId="5249EFE6" w14:textId="3A1735EC" w:rsidR="003B640C" w:rsidRDefault="003B640C" w:rsidP="00731DBA">
      <w:r>
        <w:br w:type="page"/>
      </w:r>
    </w:p>
    <w:p w14:paraId="277C8384" w14:textId="146F1623" w:rsidR="003B640C" w:rsidRDefault="003B640C" w:rsidP="00731DBA">
      <w:r w:rsidRPr="003B640C">
        <w:rPr>
          <w:noProof/>
        </w:rPr>
        <w:lastRenderedPageBreak/>
        <w:drawing>
          <wp:inline distT="0" distB="0" distL="0" distR="0" wp14:anchorId="30FF6953" wp14:editId="5178700A">
            <wp:extent cx="5277587" cy="276264"/>
            <wp:effectExtent l="0" t="0" r="0"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7587" cy="276264"/>
                    </a:xfrm>
                    <a:prstGeom prst="rect">
                      <a:avLst/>
                    </a:prstGeom>
                  </pic:spPr>
                </pic:pic>
              </a:graphicData>
            </a:graphic>
          </wp:inline>
        </w:drawing>
      </w:r>
    </w:p>
    <w:p w14:paraId="04B102C7" w14:textId="47DCC136" w:rsidR="003B640C" w:rsidRDefault="003B640C" w:rsidP="00731DBA"/>
    <w:p w14:paraId="7AED1F29" w14:textId="2BEC2041" w:rsidR="003B640C" w:rsidRDefault="003B640C" w:rsidP="003B640C">
      <w:pPr>
        <w:ind w:left="-426"/>
      </w:pPr>
      <w:r w:rsidRPr="003B640C">
        <w:rPr>
          <w:noProof/>
        </w:rPr>
        <w:drawing>
          <wp:inline distT="0" distB="0" distL="0" distR="0" wp14:anchorId="170A4B6E" wp14:editId="1980C207">
            <wp:extent cx="6482398" cy="4778734"/>
            <wp:effectExtent l="0" t="0" r="0" b="317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85598" cy="4781093"/>
                    </a:xfrm>
                    <a:prstGeom prst="rect">
                      <a:avLst/>
                    </a:prstGeom>
                    <a:noFill/>
                    <a:ln>
                      <a:noFill/>
                    </a:ln>
                  </pic:spPr>
                </pic:pic>
              </a:graphicData>
            </a:graphic>
          </wp:inline>
        </w:drawing>
      </w:r>
    </w:p>
    <w:p w14:paraId="12331458" w14:textId="77777777" w:rsidR="003B640C" w:rsidRDefault="003B640C" w:rsidP="00731DBA"/>
    <w:p w14:paraId="11C2960E" w14:textId="77777777" w:rsidR="00731DBA" w:rsidRDefault="00E03212" w:rsidP="00731DBA">
      <w:pPr>
        <w:pStyle w:val="Titolo2"/>
      </w:pPr>
      <w:bookmarkStart w:id="52" w:name="_Toc92569740"/>
      <w:r w:rsidRPr="00E03212">
        <w:t>Rimodulazione dei conguagli</w:t>
      </w:r>
      <w:bookmarkEnd w:id="52"/>
    </w:p>
    <w:p w14:paraId="7F82A86F" w14:textId="267847CB" w:rsidR="005D066F" w:rsidRDefault="005D066F" w:rsidP="005D066F">
      <w:r>
        <w:t>Non è stata effettuata la rimodulazione dei conguagli.</w:t>
      </w:r>
    </w:p>
    <w:p w14:paraId="24A11B63" w14:textId="4AB66AD3" w:rsidR="00731DBA" w:rsidRDefault="00731DBA" w:rsidP="00731DBA"/>
    <w:p w14:paraId="532D0AAD" w14:textId="77777777" w:rsidR="00635B94" w:rsidRDefault="00635B94" w:rsidP="00731DBA"/>
    <w:p w14:paraId="637731FF" w14:textId="77777777" w:rsidR="00731DBA" w:rsidRDefault="00CA3614" w:rsidP="00731DBA">
      <w:pPr>
        <w:pStyle w:val="Titolo2"/>
      </w:pPr>
      <w:bookmarkStart w:id="53" w:name="_Toc92569741"/>
      <w:r w:rsidRPr="00CA3614">
        <w:t>Rimodulazione del valore delle entrate tariffarie che eccede il limite alla variazione annuale</w:t>
      </w:r>
      <w:bookmarkEnd w:id="53"/>
      <w:r w:rsidR="00731DBA">
        <w:t xml:space="preserve"> </w:t>
      </w:r>
    </w:p>
    <w:p w14:paraId="5AA19977" w14:textId="3D865A06" w:rsidR="005D066F" w:rsidRDefault="005D066F" w:rsidP="005D066F">
      <w:r>
        <w:t>Non è stata operata la rimodulazione all’interno del tool come di seguito riepilogato per effetto delle migliori condizioni contrattuali inserite nel tool (vedi paragrafo 5.7).</w:t>
      </w:r>
    </w:p>
    <w:p w14:paraId="4061B924" w14:textId="01FF6984" w:rsidR="00E00ACF" w:rsidRDefault="00E00ACF" w:rsidP="00731DBA"/>
    <w:p w14:paraId="3E7F9830" w14:textId="77777777" w:rsidR="00635B94" w:rsidRDefault="00635B94" w:rsidP="00731DBA"/>
    <w:p w14:paraId="000868C2" w14:textId="77777777" w:rsidR="00731DBA" w:rsidRDefault="00665EFD" w:rsidP="00731DBA">
      <w:pPr>
        <w:pStyle w:val="Titolo2"/>
      </w:pPr>
      <w:bookmarkStart w:id="54" w:name="_Toc92569742"/>
      <w:r w:rsidRPr="00665EFD">
        <w:t>Eventuale superamento del limite alla crescita annuale delle entrate tariffarie</w:t>
      </w:r>
      <w:bookmarkEnd w:id="54"/>
      <w:r w:rsidR="00731DBA" w:rsidRPr="00203904">
        <w:rPr>
          <w:i/>
        </w:rPr>
        <w:t xml:space="preserve"> </w:t>
      </w:r>
    </w:p>
    <w:p w14:paraId="1FBCED02" w14:textId="6BC7A11B" w:rsidR="005D066F" w:rsidRDefault="005D066F" w:rsidP="005D066F">
      <w:r>
        <w:t>Casistica non presa in considerazione da parte dell’ETC.</w:t>
      </w:r>
    </w:p>
    <w:p w14:paraId="7E656DAD" w14:textId="77777777" w:rsidR="00731DBA" w:rsidRDefault="00731DBA" w:rsidP="00731DBA"/>
    <w:p w14:paraId="142D769E" w14:textId="77777777" w:rsidR="00E00ACF" w:rsidRPr="002D332F" w:rsidRDefault="00E00ACF" w:rsidP="00731DBA"/>
    <w:p w14:paraId="44ABB162" w14:textId="77777777" w:rsidR="00635B94" w:rsidRDefault="00635B94" w:rsidP="00731DBA">
      <w:pPr>
        <w:pStyle w:val="Titolo2"/>
      </w:pPr>
      <w:r>
        <w:br w:type="page"/>
      </w:r>
    </w:p>
    <w:p w14:paraId="2F2C4D1D" w14:textId="7A26FC58" w:rsidR="00731DBA" w:rsidRDefault="0006533F" w:rsidP="00731DBA">
      <w:pPr>
        <w:pStyle w:val="Titolo2"/>
      </w:pPr>
      <w:bookmarkStart w:id="55" w:name="_Toc92569743"/>
      <w:r w:rsidRPr="0006533F">
        <w:lastRenderedPageBreak/>
        <w:t>Ulteriori detrazioni</w:t>
      </w:r>
      <w:bookmarkEnd w:id="55"/>
      <w:r w:rsidR="00731DBA">
        <w:t xml:space="preserve"> </w:t>
      </w:r>
    </w:p>
    <w:p w14:paraId="4E2279F2" w14:textId="56E88AE5" w:rsidR="005D066F" w:rsidRDefault="005D066F" w:rsidP="005D066F">
      <w:pPr>
        <w:spacing w:line="259" w:lineRule="auto"/>
        <w:jc w:val="left"/>
      </w:pPr>
      <w:r>
        <w:t>Le detrazioni sono legate al MIUR, Recupero di Evasione ed Elusione e altri benefici, come sintetizzati nel prospetto seguente</w:t>
      </w:r>
    </w:p>
    <w:p w14:paraId="51971079" w14:textId="32254816" w:rsidR="00D42999" w:rsidRDefault="00D42999" w:rsidP="005D066F"/>
    <w:tbl>
      <w:tblPr>
        <w:tblW w:w="9356" w:type="dxa"/>
        <w:tblCellMar>
          <w:left w:w="70" w:type="dxa"/>
          <w:right w:w="70" w:type="dxa"/>
        </w:tblCellMar>
        <w:tblLook w:val="04A0" w:firstRow="1" w:lastRow="0" w:firstColumn="1" w:lastColumn="0" w:noHBand="0" w:noVBand="1"/>
      </w:tblPr>
      <w:tblGrid>
        <w:gridCol w:w="3261"/>
        <w:gridCol w:w="1559"/>
        <w:gridCol w:w="1559"/>
        <w:gridCol w:w="1559"/>
        <w:gridCol w:w="1418"/>
      </w:tblGrid>
      <w:tr w:rsidR="005D066F" w:rsidRPr="005D066F" w14:paraId="13AA9FA0" w14:textId="77777777" w:rsidTr="00635B94">
        <w:trPr>
          <w:trHeight w:val="660"/>
        </w:trPr>
        <w:tc>
          <w:tcPr>
            <w:tcW w:w="7938" w:type="dxa"/>
            <w:gridSpan w:val="4"/>
            <w:tcBorders>
              <w:top w:val="nil"/>
              <w:left w:val="nil"/>
              <w:bottom w:val="double" w:sz="6" w:space="0" w:color="auto"/>
              <w:right w:val="nil"/>
            </w:tcBorders>
            <w:shd w:val="clear" w:color="000000" w:fill="FFFFFF"/>
            <w:noWrap/>
            <w:vAlign w:val="center"/>
            <w:hideMark/>
          </w:tcPr>
          <w:p w14:paraId="7E9558DB" w14:textId="77777777" w:rsidR="005D066F" w:rsidRPr="005D066F" w:rsidRDefault="005D066F" w:rsidP="005D066F">
            <w:pPr>
              <w:jc w:val="left"/>
              <w:rPr>
                <w:rFonts w:ascii="Arial Narrow" w:hAnsi="Arial Narrow" w:cs="Calibri"/>
                <w:b/>
                <w:bCs/>
                <w:sz w:val="18"/>
                <w:szCs w:val="18"/>
              </w:rPr>
            </w:pPr>
            <w:r w:rsidRPr="005D066F">
              <w:rPr>
                <w:rFonts w:ascii="Arial Narrow" w:hAnsi="Arial Narrow" w:cs="Calibri"/>
                <w:b/>
                <w:bCs/>
                <w:sz w:val="18"/>
                <w:szCs w:val="18"/>
              </w:rPr>
              <w:t>Detrazioni da Det. 2/DRIF/2021 comma 1.4 (MIUR/Evasione/Agevolazioni/Riduzioni)</w:t>
            </w:r>
          </w:p>
        </w:tc>
        <w:tc>
          <w:tcPr>
            <w:tcW w:w="1418" w:type="dxa"/>
            <w:tcBorders>
              <w:top w:val="nil"/>
              <w:left w:val="nil"/>
              <w:bottom w:val="double" w:sz="6" w:space="0" w:color="auto"/>
              <w:right w:val="nil"/>
            </w:tcBorders>
            <w:shd w:val="clear" w:color="000000" w:fill="FFFFFF"/>
            <w:noWrap/>
            <w:vAlign w:val="bottom"/>
            <w:hideMark/>
          </w:tcPr>
          <w:p w14:paraId="427EC078" w14:textId="77777777" w:rsidR="005D066F" w:rsidRPr="005D066F" w:rsidRDefault="005D066F" w:rsidP="005D066F">
            <w:pPr>
              <w:jc w:val="left"/>
              <w:rPr>
                <w:rFonts w:ascii="Arial Narrow" w:hAnsi="Arial Narrow" w:cs="Calibri"/>
                <w:color w:val="000000"/>
                <w:sz w:val="18"/>
                <w:szCs w:val="18"/>
              </w:rPr>
            </w:pPr>
            <w:r w:rsidRPr="005D066F">
              <w:rPr>
                <w:rFonts w:ascii="Arial Narrow" w:hAnsi="Arial Narrow" w:cs="Calibri"/>
                <w:color w:val="000000"/>
                <w:sz w:val="18"/>
                <w:szCs w:val="18"/>
              </w:rPr>
              <w:t> </w:t>
            </w:r>
          </w:p>
        </w:tc>
      </w:tr>
      <w:tr w:rsidR="005D066F" w:rsidRPr="005D066F" w14:paraId="2A96E518" w14:textId="77777777" w:rsidTr="00635B94">
        <w:trPr>
          <w:trHeight w:val="280"/>
        </w:trPr>
        <w:tc>
          <w:tcPr>
            <w:tcW w:w="3261" w:type="dxa"/>
            <w:tcBorders>
              <w:top w:val="nil"/>
              <w:left w:val="nil"/>
              <w:bottom w:val="nil"/>
              <w:right w:val="nil"/>
            </w:tcBorders>
            <w:shd w:val="clear" w:color="000000" w:fill="FFFFFF"/>
            <w:noWrap/>
            <w:vAlign w:val="bottom"/>
            <w:hideMark/>
          </w:tcPr>
          <w:p w14:paraId="13BA8369" w14:textId="77777777" w:rsidR="005D066F" w:rsidRPr="005D066F" w:rsidRDefault="005D066F" w:rsidP="005D066F">
            <w:pPr>
              <w:jc w:val="left"/>
              <w:rPr>
                <w:rFonts w:ascii="Arial Narrow" w:hAnsi="Arial Narrow" w:cs="Calibri"/>
                <w:color w:val="000000"/>
                <w:sz w:val="18"/>
                <w:szCs w:val="18"/>
              </w:rPr>
            </w:pPr>
            <w:r w:rsidRPr="005D066F">
              <w:rPr>
                <w:rFonts w:ascii="Arial Narrow" w:hAnsi="Arial Narrow" w:cs="Calibri"/>
                <w:color w:val="000000"/>
                <w:sz w:val="18"/>
                <w:szCs w:val="18"/>
              </w:rPr>
              <w:t> </w:t>
            </w:r>
          </w:p>
        </w:tc>
        <w:tc>
          <w:tcPr>
            <w:tcW w:w="1559" w:type="dxa"/>
            <w:tcBorders>
              <w:top w:val="nil"/>
              <w:left w:val="nil"/>
              <w:bottom w:val="nil"/>
              <w:right w:val="nil"/>
            </w:tcBorders>
            <w:shd w:val="clear" w:color="000000" w:fill="FFFFFF"/>
            <w:noWrap/>
            <w:vAlign w:val="bottom"/>
            <w:hideMark/>
          </w:tcPr>
          <w:p w14:paraId="75501527" w14:textId="77777777" w:rsidR="005D066F" w:rsidRPr="005D066F" w:rsidRDefault="005D066F" w:rsidP="005D066F">
            <w:pPr>
              <w:jc w:val="left"/>
              <w:rPr>
                <w:rFonts w:ascii="Arial Narrow" w:hAnsi="Arial Narrow" w:cs="Calibri"/>
                <w:color w:val="000000"/>
                <w:sz w:val="18"/>
                <w:szCs w:val="18"/>
              </w:rPr>
            </w:pPr>
            <w:r w:rsidRPr="005D066F">
              <w:rPr>
                <w:rFonts w:ascii="Arial Narrow" w:hAnsi="Arial Narrow" w:cs="Calibri"/>
                <w:color w:val="000000"/>
                <w:sz w:val="18"/>
                <w:szCs w:val="18"/>
              </w:rPr>
              <w:t> </w:t>
            </w:r>
          </w:p>
        </w:tc>
        <w:tc>
          <w:tcPr>
            <w:tcW w:w="1559" w:type="dxa"/>
            <w:tcBorders>
              <w:top w:val="nil"/>
              <w:left w:val="nil"/>
              <w:bottom w:val="nil"/>
              <w:right w:val="nil"/>
            </w:tcBorders>
            <w:shd w:val="clear" w:color="000000" w:fill="FFFFFF"/>
            <w:noWrap/>
            <w:vAlign w:val="bottom"/>
            <w:hideMark/>
          </w:tcPr>
          <w:p w14:paraId="1C487A59" w14:textId="77777777" w:rsidR="005D066F" w:rsidRPr="005D066F" w:rsidRDefault="005D066F" w:rsidP="005D066F">
            <w:pPr>
              <w:jc w:val="left"/>
              <w:rPr>
                <w:rFonts w:ascii="Arial Narrow" w:hAnsi="Arial Narrow" w:cs="Calibri"/>
                <w:color w:val="000000"/>
                <w:sz w:val="18"/>
                <w:szCs w:val="18"/>
              </w:rPr>
            </w:pPr>
            <w:r w:rsidRPr="005D066F">
              <w:rPr>
                <w:rFonts w:ascii="Arial Narrow" w:hAnsi="Arial Narrow" w:cs="Calibri"/>
                <w:color w:val="000000"/>
                <w:sz w:val="18"/>
                <w:szCs w:val="18"/>
              </w:rPr>
              <w:t> </w:t>
            </w:r>
          </w:p>
        </w:tc>
        <w:tc>
          <w:tcPr>
            <w:tcW w:w="1559" w:type="dxa"/>
            <w:tcBorders>
              <w:top w:val="nil"/>
              <w:left w:val="nil"/>
              <w:bottom w:val="nil"/>
              <w:right w:val="nil"/>
            </w:tcBorders>
            <w:shd w:val="clear" w:color="000000" w:fill="FFFFFF"/>
            <w:noWrap/>
            <w:vAlign w:val="bottom"/>
            <w:hideMark/>
          </w:tcPr>
          <w:p w14:paraId="238A6181" w14:textId="77777777" w:rsidR="005D066F" w:rsidRPr="005D066F" w:rsidRDefault="005D066F" w:rsidP="005D066F">
            <w:pPr>
              <w:jc w:val="left"/>
              <w:rPr>
                <w:rFonts w:ascii="Arial Narrow" w:hAnsi="Arial Narrow" w:cs="Calibri"/>
                <w:color w:val="000000"/>
                <w:sz w:val="18"/>
                <w:szCs w:val="18"/>
              </w:rPr>
            </w:pPr>
            <w:r w:rsidRPr="005D066F">
              <w:rPr>
                <w:rFonts w:ascii="Arial Narrow" w:hAnsi="Arial Narrow" w:cs="Calibri"/>
                <w:color w:val="000000"/>
                <w:sz w:val="18"/>
                <w:szCs w:val="18"/>
              </w:rPr>
              <w:t> </w:t>
            </w:r>
          </w:p>
        </w:tc>
        <w:tc>
          <w:tcPr>
            <w:tcW w:w="1418" w:type="dxa"/>
            <w:tcBorders>
              <w:top w:val="nil"/>
              <w:left w:val="nil"/>
              <w:bottom w:val="nil"/>
              <w:right w:val="nil"/>
            </w:tcBorders>
            <w:shd w:val="clear" w:color="000000" w:fill="FFFFFF"/>
            <w:noWrap/>
            <w:vAlign w:val="bottom"/>
            <w:hideMark/>
          </w:tcPr>
          <w:p w14:paraId="0ECB5C0C" w14:textId="77777777" w:rsidR="005D066F" w:rsidRPr="005D066F" w:rsidRDefault="005D066F" w:rsidP="005D066F">
            <w:pPr>
              <w:jc w:val="left"/>
              <w:rPr>
                <w:rFonts w:ascii="Arial Narrow" w:hAnsi="Arial Narrow" w:cs="Calibri"/>
                <w:color w:val="000000"/>
                <w:sz w:val="18"/>
                <w:szCs w:val="18"/>
              </w:rPr>
            </w:pPr>
            <w:r w:rsidRPr="005D066F">
              <w:rPr>
                <w:rFonts w:ascii="Arial Narrow" w:hAnsi="Arial Narrow" w:cs="Calibri"/>
                <w:color w:val="000000"/>
                <w:sz w:val="18"/>
                <w:szCs w:val="18"/>
              </w:rPr>
              <w:t> </w:t>
            </w:r>
          </w:p>
        </w:tc>
      </w:tr>
      <w:tr w:rsidR="005D066F" w:rsidRPr="005D066F" w14:paraId="405CB272" w14:textId="77777777" w:rsidTr="00635B94">
        <w:trPr>
          <w:trHeight w:val="280"/>
        </w:trPr>
        <w:tc>
          <w:tcPr>
            <w:tcW w:w="3261" w:type="dxa"/>
            <w:tcBorders>
              <w:top w:val="nil"/>
              <w:left w:val="nil"/>
              <w:bottom w:val="nil"/>
              <w:right w:val="nil"/>
            </w:tcBorders>
            <w:shd w:val="clear" w:color="000000" w:fill="FFFFFF"/>
            <w:noWrap/>
            <w:vAlign w:val="bottom"/>
            <w:hideMark/>
          </w:tcPr>
          <w:p w14:paraId="79DF8E0D" w14:textId="77777777" w:rsidR="005D066F" w:rsidRPr="005D066F" w:rsidRDefault="005D066F" w:rsidP="005D066F">
            <w:pPr>
              <w:jc w:val="left"/>
              <w:rPr>
                <w:rFonts w:ascii="Arial Narrow" w:hAnsi="Arial Narrow" w:cs="Calibri"/>
                <w:color w:val="000000"/>
                <w:sz w:val="18"/>
                <w:szCs w:val="18"/>
              </w:rPr>
            </w:pPr>
            <w:r w:rsidRPr="005D066F">
              <w:rPr>
                <w:rFonts w:ascii="Arial Narrow" w:hAnsi="Arial Narrow" w:cs="Calibri"/>
                <w:color w:val="000000"/>
                <w:sz w:val="18"/>
                <w:szCs w:val="18"/>
              </w:rPr>
              <w:t> </w:t>
            </w:r>
          </w:p>
        </w:tc>
        <w:tc>
          <w:tcPr>
            <w:tcW w:w="1559" w:type="dxa"/>
            <w:tcBorders>
              <w:top w:val="single" w:sz="4" w:space="0" w:color="808080"/>
              <w:left w:val="single" w:sz="4" w:space="0" w:color="808080"/>
              <w:bottom w:val="single" w:sz="4" w:space="0" w:color="808080"/>
              <w:right w:val="single" w:sz="4" w:space="0" w:color="808080"/>
            </w:tcBorders>
            <w:shd w:val="clear" w:color="000000" w:fill="FFC000"/>
            <w:noWrap/>
            <w:vAlign w:val="center"/>
            <w:hideMark/>
          </w:tcPr>
          <w:p w14:paraId="10597BBE" w14:textId="77777777" w:rsidR="005D066F" w:rsidRPr="005D066F" w:rsidRDefault="005D066F" w:rsidP="005D066F">
            <w:pPr>
              <w:jc w:val="center"/>
              <w:rPr>
                <w:rFonts w:ascii="Arial Narrow" w:hAnsi="Arial Narrow" w:cs="Calibri"/>
                <w:b/>
                <w:bCs/>
                <w:color w:val="000000"/>
                <w:sz w:val="18"/>
                <w:szCs w:val="18"/>
              </w:rPr>
            </w:pPr>
            <w:r w:rsidRPr="005D066F">
              <w:rPr>
                <w:rFonts w:ascii="Arial Narrow" w:hAnsi="Arial Narrow" w:cs="Calibri"/>
                <w:b/>
                <w:bCs/>
                <w:color w:val="000000"/>
                <w:sz w:val="18"/>
                <w:szCs w:val="18"/>
              </w:rPr>
              <w:t>2022</w:t>
            </w:r>
          </w:p>
        </w:tc>
        <w:tc>
          <w:tcPr>
            <w:tcW w:w="1559" w:type="dxa"/>
            <w:tcBorders>
              <w:top w:val="single" w:sz="4" w:space="0" w:color="808080"/>
              <w:left w:val="nil"/>
              <w:bottom w:val="single" w:sz="4" w:space="0" w:color="808080"/>
              <w:right w:val="single" w:sz="4" w:space="0" w:color="808080"/>
            </w:tcBorders>
            <w:shd w:val="clear" w:color="000000" w:fill="FFC000"/>
            <w:noWrap/>
            <w:vAlign w:val="center"/>
            <w:hideMark/>
          </w:tcPr>
          <w:p w14:paraId="53ECD49B" w14:textId="77777777" w:rsidR="005D066F" w:rsidRPr="005D066F" w:rsidRDefault="005D066F" w:rsidP="005D066F">
            <w:pPr>
              <w:jc w:val="center"/>
              <w:rPr>
                <w:rFonts w:ascii="Arial Narrow" w:hAnsi="Arial Narrow" w:cs="Calibri"/>
                <w:b/>
                <w:bCs/>
                <w:color w:val="000000"/>
                <w:sz w:val="18"/>
                <w:szCs w:val="18"/>
              </w:rPr>
            </w:pPr>
            <w:r w:rsidRPr="005D066F">
              <w:rPr>
                <w:rFonts w:ascii="Arial Narrow" w:hAnsi="Arial Narrow" w:cs="Calibri"/>
                <w:b/>
                <w:bCs/>
                <w:color w:val="000000"/>
                <w:sz w:val="18"/>
                <w:szCs w:val="18"/>
              </w:rPr>
              <w:t>2023</w:t>
            </w:r>
          </w:p>
        </w:tc>
        <w:tc>
          <w:tcPr>
            <w:tcW w:w="1559" w:type="dxa"/>
            <w:tcBorders>
              <w:top w:val="single" w:sz="4" w:space="0" w:color="808080"/>
              <w:left w:val="nil"/>
              <w:bottom w:val="single" w:sz="4" w:space="0" w:color="808080"/>
              <w:right w:val="single" w:sz="4" w:space="0" w:color="808080"/>
            </w:tcBorders>
            <w:shd w:val="clear" w:color="000000" w:fill="FFC000"/>
            <w:noWrap/>
            <w:vAlign w:val="center"/>
            <w:hideMark/>
          </w:tcPr>
          <w:p w14:paraId="3FA51B12" w14:textId="77777777" w:rsidR="005D066F" w:rsidRPr="005D066F" w:rsidRDefault="005D066F" w:rsidP="005D066F">
            <w:pPr>
              <w:jc w:val="center"/>
              <w:rPr>
                <w:rFonts w:ascii="Arial Narrow" w:hAnsi="Arial Narrow" w:cs="Calibri"/>
                <w:b/>
                <w:bCs/>
                <w:color w:val="000000"/>
                <w:sz w:val="18"/>
                <w:szCs w:val="18"/>
              </w:rPr>
            </w:pPr>
            <w:r w:rsidRPr="005D066F">
              <w:rPr>
                <w:rFonts w:ascii="Arial Narrow" w:hAnsi="Arial Narrow" w:cs="Calibri"/>
                <w:b/>
                <w:bCs/>
                <w:color w:val="000000"/>
                <w:sz w:val="18"/>
                <w:szCs w:val="18"/>
              </w:rPr>
              <w:t>2024</w:t>
            </w:r>
          </w:p>
        </w:tc>
        <w:tc>
          <w:tcPr>
            <w:tcW w:w="1418" w:type="dxa"/>
            <w:tcBorders>
              <w:top w:val="single" w:sz="4" w:space="0" w:color="808080"/>
              <w:left w:val="nil"/>
              <w:bottom w:val="single" w:sz="4" w:space="0" w:color="808080"/>
              <w:right w:val="single" w:sz="4" w:space="0" w:color="808080"/>
            </w:tcBorders>
            <w:shd w:val="clear" w:color="000000" w:fill="FFC000"/>
            <w:noWrap/>
            <w:vAlign w:val="center"/>
            <w:hideMark/>
          </w:tcPr>
          <w:p w14:paraId="3C0C566F" w14:textId="77777777" w:rsidR="005D066F" w:rsidRPr="005D066F" w:rsidRDefault="005D066F" w:rsidP="005D066F">
            <w:pPr>
              <w:jc w:val="center"/>
              <w:rPr>
                <w:rFonts w:ascii="Arial Narrow" w:hAnsi="Arial Narrow" w:cs="Calibri"/>
                <w:b/>
                <w:bCs/>
                <w:color w:val="000000"/>
                <w:sz w:val="18"/>
                <w:szCs w:val="18"/>
              </w:rPr>
            </w:pPr>
            <w:r w:rsidRPr="005D066F">
              <w:rPr>
                <w:rFonts w:ascii="Arial Narrow" w:hAnsi="Arial Narrow" w:cs="Calibri"/>
                <w:b/>
                <w:bCs/>
                <w:color w:val="000000"/>
                <w:sz w:val="18"/>
                <w:szCs w:val="18"/>
              </w:rPr>
              <w:t>2025</w:t>
            </w:r>
          </w:p>
        </w:tc>
      </w:tr>
      <w:tr w:rsidR="005D066F" w:rsidRPr="005D066F" w14:paraId="769C066F" w14:textId="77777777" w:rsidTr="00635B94">
        <w:trPr>
          <w:trHeight w:val="500"/>
        </w:trPr>
        <w:tc>
          <w:tcPr>
            <w:tcW w:w="3261" w:type="dxa"/>
            <w:tcBorders>
              <w:top w:val="single" w:sz="4" w:space="0" w:color="808080"/>
              <w:left w:val="single" w:sz="4" w:space="0" w:color="808080"/>
              <w:bottom w:val="single" w:sz="4" w:space="0" w:color="808080"/>
              <w:right w:val="nil"/>
            </w:tcBorders>
            <w:shd w:val="clear" w:color="auto" w:fill="auto"/>
            <w:vAlign w:val="center"/>
            <w:hideMark/>
          </w:tcPr>
          <w:p w14:paraId="3F369C40" w14:textId="77777777" w:rsidR="005D066F" w:rsidRPr="005D066F" w:rsidRDefault="005D066F" w:rsidP="005D066F">
            <w:pPr>
              <w:jc w:val="left"/>
              <w:rPr>
                <w:rFonts w:ascii="Arial Narrow" w:hAnsi="Arial Narrow" w:cs="Calibri"/>
                <w:color w:val="000000"/>
                <w:sz w:val="18"/>
                <w:szCs w:val="18"/>
              </w:rPr>
            </w:pPr>
            <w:r w:rsidRPr="005D066F">
              <w:rPr>
                <w:rFonts w:ascii="Arial Narrow" w:hAnsi="Arial Narrow" w:cs="Calibri"/>
                <w:color w:val="000000"/>
                <w:sz w:val="18"/>
                <w:szCs w:val="18"/>
              </w:rPr>
              <w:t>Detrazioni come da Det. 2/DRIF/2021 comma 1.4 - PARTE VARIABILE</w:t>
            </w:r>
          </w:p>
        </w:tc>
        <w:tc>
          <w:tcPr>
            <w:tcW w:w="1559" w:type="dxa"/>
            <w:tcBorders>
              <w:top w:val="nil"/>
              <w:left w:val="single" w:sz="4" w:space="0" w:color="808080"/>
              <w:bottom w:val="single" w:sz="4" w:space="0" w:color="808080"/>
              <w:right w:val="single" w:sz="4" w:space="0" w:color="808080"/>
            </w:tcBorders>
            <w:shd w:val="clear" w:color="000000" w:fill="FFFFFF"/>
            <w:noWrap/>
            <w:vAlign w:val="center"/>
            <w:hideMark/>
          </w:tcPr>
          <w:p w14:paraId="2D151F1D" w14:textId="36C798D1"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xml:space="preserve"> 2.438.846 </w:t>
            </w:r>
          </w:p>
        </w:tc>
        <w:tc>
          <w:tcPr>
            <w:tcW w:w="1559" w:type="dxa"/>
            <w:tcBorders>
              <w:top w:val="nil"/>
              <w:left w:val="nil"/>
              <w:bottom w:val="single" w:sz="4" w:space="0" w:color="808080"/>
              <w:right w:val="single" w:sz="4" w:space="0" w:color="808080"/>
            </w:tcBorders>
            <w:shd w:val="clear" w:color="000000" w:fill="FFFFFF"/>
            <w:noWrap/>
            <w:vAlign w:val="center"/>
            <w:hideMark/>
          </w:tcPr>
          <w:p w14:paraId="1E57698A" w14:textId="340C4D51"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xml:space="preserve"> 2.972.204 </w:t>
            </w:r>
          </w:p>
        </w:tc>
        <w:tc>
          <w:tcPr>
            <w:tcW w:w="1559" w:type="dxa"/>
            <w:tcBorders>
              <w:top w:val="nil"/>
              <w:left w:val="nil"/>
              <w:bottom w:val="single" w:sz="4" w:space="0" w:color="808080"/>
              <w:right w:val="single" w:sz="4" w:space="0" w:color="808080"/>
            </w:tcBorders>
            <w:shd w:val="clear" w:color="000000" w:fill="FFFFFF"/>
            <w:noWrap/>
            <w:vAlign w:val="center"/>
            <w:hideMark/>
          </w:tcPr>
          <w:p w14:paraId="1A7889FC" w14:textId="2B3EDC1B"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xml:space="preserve"> 2.972.204 </w:t>
            </w:r>
          </w:p>
        </w:tc>
        <w:tc>
          <w:tcPr>
            <w:tcW w:w="1418" w:type="dxa"/>
            <w:tcBorders>
              <w:top w:val="nil"/>
              <w:left w:val="nil"/>
              <w:bottom w:val="single" w:sz="4" w:space="0" w:color="808080"/>
              <w:right w:val="single" w:sz="4" w:space="0" w:color="808080"/>
            </w:tcBorders>
            <w:shd w:val="clear" w:color="000000" w:fill="FFFFFF"/>
            <w:noWrap/>
            <w:vAlign w:val="center"/>
            <w:hideMark/>
          </w:tcPr>
          <w:p w14:paraId="1D523A87" w14:textId="767AA270"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xml:space="preserve"> 2.972.204 </w:t>
            </w:r>
          </w:p>
        </w:tc>
      </w:tr>
      <w:tr w:rsidR="005D066F" w:rsidRPr="005D066F" w14:paraId="449C48F4" w14:textId="77777777" w:rsidTr="00635B94">
        <w:trPr>
          <w:trHeight w:val="500"/>
        </w:trPr>
        <w:tc>
          <w:tcPr>
            <w:tcW w:w="3261" w:type="dxa"/>
            <w:tcBorders>
              <w:top w:val="nil"/>
              <w:left w:val="single" w:sz="4" w:space="0" w:color="808080"/>
              <w:bottom w:val="single" w:sz="4" w:space="0" w:color="808080"/>
              <w:right w:val="nil"/>
            </w:tcBorders>
            <w:shd w:val="clear" w:color="auto" w:fill="auto"/>
            <w:vAlign w:val="center"/>
            <w:hideMark/>
          </w:tcPr>
          <w:p w14:paraId="5AAFD5C5" w14:textId="77777777" w:rsidR="005D066F" w:rsidRPr="005D066F" w:rsidRDefault="005D066F" w:rsidP="005D066F">
            <w:pPr>
              <w:jc w:val="left"/>
              <w:rPr>
                <w:rFonts w:ascii="Arial Narrow" w:hAnsi="Arial Narrow" w:cs="Calibri"/>
                <w:color w:val="000000"/>
                <w:sz w:val="18"/>
                <w:szCs w:val="18"/>
              </w:rPr>
            </w:pPr>
            <w:r w:rsidRPr="005D066F">
              <w:rPr>
                <w:rFonts w:ascii="Arial Narrow" w:hAnsi="Arial Narrow" w:cs="Calibri"/>
                <w:color w:val="000000"/>
                <w:sz w:val="18"/>
                <w:szCs w:val="18"/>
              </w:rPr>
              <w:t>Detrazioni come da Det. 2/DRIF/2021 comma 1.4  - PARTE FISSA</w:t>
            </w:r>
          </w:p>
        </w:tc>
        <w:tc>
          <w:tcPr>
            <w:tcW w:w="1559" w:type="dxa"/>
            <w:tcBorders>
              <w:top w:val="nil"/>
              <w:left w:val="single" w:sz="4" w:space="0" w:color="808080"/>
              <w:bottom w:val="single" w:sz="4" w:space="0" w:color="808080"/>
              <w:right w:val="single" w:sz="4" w:space="0" w:color="808080"/>
            </w:tcBorders>
            <w:shd w:val="clear" w:color="000000" w:fill="FFFFFF"/>
            <w:noWrap/>
            <w:vAlign w:val="center"/>
            <w:hideMark/>
          </w:tcPr>
          <w:p w14:paraId="26A8D3BD" w14:textId="77777777"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w:t>
            </w:r>
          </w:p>
        </w:tc>
        <w:tc>
          <w:tcPr>
            <w:tcW w:w="1559" w:type="dxa"/>
            <w:tcBorders>
              <w:top w:val="nil"/>
              <w:left w:val="nil"/>
              <w:bottom w:val="single" w:sz="4" w:space="0" w:color="808080"/>
              <w:right w:val="single" w:sz="4" w:space="0" w:color="808080"/>
            </w:tcBorders>
            <w:shd w:val="clear" w:color="000000" w:fill="FFFFFF"/>
            <w:noWrap/>
            <w:vAlign w:val="center"/>
            <w:hideMark/>
          </w:tcPr>
          <w:p w14:paraId="35CFC617" w14:textId="77777777"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w:t>
            </w:r>
          </w:p>
        </w:tc>
        <w:tc>
          <w:tcPr>
            <w:tcW w:w="1559" w:type="dxa"/>
            <w:tcBorders>
              <w:top w:val="nil"/>
              <w:left w:val="nil"/>
              <w:bottom w:val="single" w:sz="4" w:space="0" w:color="808080"/>
              <w:right w:val="single" w:sz="4" w:space="0" w:color="808080"/>
            </w:tcBorders>
            <w:shd w:val="clear" w:color="000000" w:fill="FFFFFF"/>
            <w:noWrap/>
            <w:vAlign w:val="center"/>
            <w:hideMark/>
          </w:tcPr>
          <w:p w14:paraId="7EEF1E51" w14:textId="77777777"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w:t>
            </w:r>
          </w:p>
        </w:tc>
        <w:tc>
          <w:tcPr>
            <w:tcW w:w="1418" w:type="dxa"/>
            <w:tcBorders>
              <w:top w:val="nil"/>
              <w:left w:val="nil"/>
              <w:bottom w:val="single" w:sz="4" w:space="0" w:color="808080"/>
              <w:right w:val="single" w:sz="4" w:space="0" w:color="808080"/>
            </w:tcBorders>
            <w:shd w:val="clear" w:color="000000" w:fill="FFFFFF"/>
            <w:noWrap/>
            <w:vAlign w:val="center"/>
            <w:hideMark/>
          </w:tcPr>
          <w:p w14:paraId="366B11F2" w14:textId="77777777"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w:t>
            </w:r>
          </w:p>
        </w:tc>
      </w:tr>
      <w:tr w:rsidR="005D066F" w:rsidRPr="005D066F" w14:paraId="74262162" w14:textId="77777777" w:rsidTr="00635B94">
        <w:trPr>
          <w:trHeight w:val="270"/>
        </w:trPr>
        <w:tc>
          <w:tcPr>
            <w:tcW w:w="3261" w:type="dxa"/>
            <w:tcBorders>
              <w:top w:val="nil"/>
              <w:left w:val="single" w:sz="4" w:space="0" w:color="808080"/>
              <w:bottom w:val="single" w:sz="4" w:space="0" w:color="808080"/>
              <w:right w:val="nil"/>
            </w:tcBorders>
            <w:shd w:val="clear" w:color="auto" w:fill="auto"/>
            <w:vAlign w:val="center"/>
            <w:hideMark/>
          </w:tcPr>
          <w:p w14:paraId="3AA7A2E4" w14:textId="77777777" w:rsidR="005D066F" w:rsidRPr="005D066F" w:rsidRDefault="005D066F" w:rsidP="005D066F">
            <w:pPr>
              <w:jc w:val="left"/>
              <w:rPr>
                <w:rFonts w:ascii="Arial Narrow" w:hAnsi="Arial Narrow" w:cs="Calibri"/>
                <w:color w:val="000000"/>
                <w:sz w:val="18"/>
                <w:szCs w:val="18"/>
              </w:rPr>
            </w:pPr>
            <w:r w:rsidRPr="005D066F">
              <w:rPr>
                <w:rFonts w:ascii="Arial Narrow" w:hAnsi="Arial Narrow" w:cs="Calibri"/>
                <w:color w:val="000000"/>
                <w:sz w:val="18"/>
                <w:szCs w:val="18"/>
              </w:rPr>
              <w:t>Detrazioni come da Det. 2/DRIF/2021 comma 1.4 - TOTALE</w:t>
            </w:r>
          </w:p>
        </w:tc>
        <w:tc>
          <w:tcPr>
            <w:tcW w:w="1559" w:type="dxa"/>
            <w:tcBorders>
              <w:top w:val="nil"/>
              <w:left w:val="single" w:sz="4" w:space="0" w:color="808080"/>
              <w:bottom w:val="single" w:sz="4" w:space="0" w:color="808080"/>
              <w:right w:val="single" w:sz="4" w:space="0" w:color="808080"/>
            </w:tcBorders>
            <w:shd w:val="clear" w:color="000000" w:fill="E7E6E6"/>
            <w:noWrap/>
            <w:vAlign w:val="center"/>
            <w:hideMark/>
          </w:tcPr>
          <w:p w14:paraId="4C20CE08" w14:textId="3CF12413"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xml:space="preserve"> 2.438.846 </w:t>
            </w:r>
          </w:p>
        </w:tc>
        <w:tc>
          <w:tcPr>
            <w:tcW w:w="1559" w:type="dxa"/>
            <w:tcBorders>
              <w:top w:val="nil"/>
              <w:left w:val="nil"/>
              <w:bottom w:val="single" w:sz="4" w:space="0" w:color="808080"/>
              <w:right w:val="single" w:sz="4" w:space="0" w:color="808080"/>
            </w:tcBorders>
            <w:shd w:val="clear" w:color="000000" w:fill="E7E6E6"/>
            <w:noWrap/>
            <w:vAlign w:val="center"/>
            <w:hideMark/>
          </w:tcPr>
          <w:p w14:paraId="218CF481" w14:textId="15114746"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xml:space="preserve"> 2.972.204 </w:t>
            </w:r>
          </w:p>
        </w:tc>
        <w:tc>
          <w:tcPr>
            <w:tcW w:w="1559" w:type="dxa"/>
            <w:tcBorders>
              <w:top w:val="nil"/>
              <w:left w:val="nil"/>
              <w:bottom w:val="single" w:sz="4" w:space="0" w:color="808080"/>
              <w:right w:val="single" w:sz="4" w:space="0" w:color="808080"/>
            </w:tcBorders>
            <w:shd w:val="clear" w:color="000000" w:fill="E7E6E6"/>
            <w:noWrap/>
            <w:vAlign w:val="center"/>
            <w:hideMark/>
          </w:tcPr>
          <w:p w14:paraId="378CCC69" w14:textId="465BCD76"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xml:space="preserve"> 2.972.204 </w:t>
            </w:r>
          </w:p>
        </w:tc>
        <w:tc>
          <w:tcPr>
            <w:tcW w:w="1418" w:type="dxa"/>
            <w:tcBorders>
              <w:top w:val="nil"/>
              <w:left w:val="nil"/>
              <w:bottom w:val="single" w:sz="4" w:space="0" w:color="808080"/>
              <w:right w:val="single" w:sz="4" w:space="0" w:color="808080"/>
            </w:tcBorders>
            <w:shd w:val="clear" w:color="000000" w:fill="E7E6E6"/>
            <w:noWrap/>
            <w:vAlign w:val="center"/>
            <w:hideMark/>
          </w:tcPr>
          <w:p w14:paraId="2F8A9FED" w14:textId="135058FE" w:rsidR="005D066F" w:rsidRPr="005D066F" w:rsidRDefault="005D066F" w:rsidP="005D066F">
            <w:pPr>
              <w:jc w:val="right"/>
              <w:rPr>
                <w:rFonts w:ascii="Arial Narrow" w:hAnsi="Arial Narrow" w:cs="Calibri"/>
                <w:color w:val="000000"/>
                <w:sz w:val="18"/>
                <w:szCs w:val="18"/>
              </w:rPr>
            </w:pPr>
            <w:r w:rsidRPr="005D066F">
              <w:rPr>
                <w:rFonts w:ascii="Arial Narrow" w:hAnsi="Arial Narrow" w:cs="Calibri"/>
                <w:color w:val="000000"/>
                <w:sz w:val="18"/>
                <w:szCs w:val="18"/>
              </w:rPr>
              <w:t xml:space="preserve"> 2.972.204 </w:t>
            </w:r>
          </w:p>
        </w:tc>
      </w:tr>
    </w:tbl>
    <w:p w14:paraId="5B4B5194" w14:textId="0C72C797" w:rsidR="005D066F" w:rsidRDefault="005D066F" w:rsidP="005D066F"/>
    <w:p w14:paraId="2A5FB1FD" w14:textId="343C115A" w:rsidR="005D066F" w:rsidRDefault="005D066F" w:rsidP="005D066F"/>
    <w:p w14:paraId="7F726662" w14:textId="5C74E1EA" w:rsidR="005D066F" w:rsidRDefault="005D066F" w:rsidP="005D066F">
      <w:r>
        <w:t>Nel dettaglio le detrazioni anno 2022 e 2023 sono cos</w:t>
      </w:r>
      <w:r w:rsidR="00494634">
        <w:t>ì dettagliate (per il 2024 e 2025 sono confermate quelle del 2023):</w:t>
      </w:r>
    </w:p>
    <w:p w14:paraId="0B0BA59B" w14:textId="2BFF9AD5" w:rsidR="00494634" w:rsidRDefault="00494634" w:rsidP="005D066F"/>
    <w:tbl>
      <w:tblPr>
        <w:tblW w:w="6369" w:type="dxa"/>
        <w:tblCellMar>
          <w:left w:w="70" w:type="dxa"/>
          <w:right w:w="70" w:type="dxa"/>
        </w:tblCellMar>
        <w:tblLook w:val="04A0" w:firstRow="1" w:lastRow="0" w:firstColumn="1" w:lastColumn="0" w:noHBand="0" w:noVBand="1"/>
      </w:tblPr>
      <w:tblGrid>
        <w:gridCol w:w="3278"/>
        <w:gridCol w:w="1532"/>
        <w:gridCol w:w="1559"/>
      </w:tblGrid>
      <w:tr w:rsidR="00494634" w:rsidRPr="00494634" w14:paraId="12C94F53" w14:textId="77777777" w:rsidTr="00494634">
        <w:trPr>
          <w:trHeight w:val="280"/>
        </w:trPr>
        <w:tc>
          <w:tcPr>
            <w:tcW w:w="3278" w:type="dxa"/>
            <w:tcBorders>
              <w:top w:val="single" w:sz="8" w:space="0" w:color="008000"/>
              <w:left w:val="single" w:sz="8" w:space="0" w:color="008000"/>
              <w:bottom w:val="single" w:sz="4" w:space="0" w:color="auto"/>
              <w:right w:val="single" w:sz="4" w:space="0" w:color="008000"/>
            </w:tcBorders>
            <w:shd w:val="clear" w:color="000000" w:fill="FFFFFF"/>
            <w:noWrap/>
            <w:vAlign w:val="center"/>
            <w:hideMark/>
          </w:tcPr>
          <w:p w14:paraId="3EF32FB3" w14:textId="77777777" w:rsidR="00494634" w:rsidRPr="00494634" w:rsidRDefault="00494634" w:rsidP="00494634">
            <w:pPr>
              <w:jc w:val="left"/>
              <w:rPr>
                <w:rFonts w:ascii="Arial Narrow" w:hAnsi="Arial Narrow"/>
                <w:b/>
                <w:bCs/>
                <w:color w:val="000000"/>
                <w:sz w:val="22"/>
                <w:szCs w:val="22"/>
              </w:rPr>
            </w:pPr>
            <w:r w:rsidRPr="00494634">
              <w:rPr>
                <w:rFonts w:ascii="Arial Narrow" w:hAnsi="Arial Narrow"/>
                <w:b/>
                <w:bCs/>
                <w:color w:val="000000"/>
                <w:sz w:val="22"/>
                <w:szCs w:val="22"/>
              </w:rPr>
              <w:t>Detrazioni al PEF</w:t>
            </w:r>
          </w:p>
        </w:tc>
        <w:tc>
          <w:tcPr>
            <w:tcW w:w="1532" w:type="dxa"/>
            <w:tcBorders>
              <w:top w:val="single" w:sz="8" w:space="0" w:color="008000"/>
              <w:left w:val="nil"/>
              <w:bottom w:val="single" w:sz="4" w:space="0" w:color="auto"/>
              <w:right w:val="single" w:sz="4" w:space="0" w:color="008000"/>
            </w:tcBorders>
            <w:shd w:val="clear" w:color="000000" w:fill="FFFFFF"/>
            <w:noWrap/>
            <w:vAlign w:val="center"/>
            <w:hideMark/>
          </w:tcPr>
          <w:p w14:paraId="60755F57" w14:textId="77777777" w:rsidR="00494634" w:rsidRPr="00494634" w:rsidRDefault="00494634" w:rsidP="00494634">
            <w:pPr>
              <w:jc w:val="left"/>
              <w:rPr>
                <w:rFonts w:ascii="Arial Narrow" w:hAnsi="Arial Narrow"/>
                <w:b/>
                <w:bCs/>
                <w:color w:val="000000"/>
                <w:sz w:val="22"/>
                <w:szCs w:val="22"/>
              </w:rPr>
            </w:pPr>
            <w:r w:rsidRPr="00494634">
              <w:rPr>
                <w:rFonts w:ascii="Arial Narrow" w:hAnsi="Arial Narrow"/>
                <w:b/>
                <w:bCs/>
                <w:color w:val="000000"/>
                <w:sz w:val="22"/>
                <w:szCs w:val="22"/>
              </w:rPr>
              <w:t>Anno 2022</w:t>
            </w:r>
          </w:p>
        </w:tc>
        <w:tc>
          <w:tcPr>
            <w:tcW w:w="1559" w:type="dxa"/>
            <w:tcBorders>
              <w:top w:val="single" w:sz="8" w:space="0" w:color="008000"/>
              <w:left w:val="nil"/>
              <w:bottom w:val="single" w:sz="4" w:space="0" w:color="auto"/>
              <w:right w:val="single" w:sz="8" w:space="0" w:color="008000"/>
            </w:tcBorders>
            <w:shd w:val="clear" w:color="000000" w:fill="FFFFFF"/>
            <w:noWrap/>
            <w:vAlign w:val="center"/>
            <w:hideMark/>
          </w:tcPr>
          <w:p w14:paraId="11D77C54" w14:textId="77777777" w:rsidR="00494634" w:rsidRPr="00494634" w:rsidRDefault="00494634" w:rsidP="00494634">
            <w:pPr>
              <w:jc w:val="left"/>
              <w:rPr>
                <w:rFonts w:ascii="Arial Narrow" w:hAnsi="Arial Narrow"/>
                <w:b/>
                <w:bCs/>
                <w:color w:val="000000"/>
                <w:sz w:val="22"/>
                <w:szCs w:val="22"/>
              </w:rPr>
            </w:pPr>
            <w:r w:rsidRPr="00494634">
              <w:rPr>
                <w:rFonts w:ascii="Arial Narrow" w:hAnsi="Arial Narrow"/>
                <w:b/>
                <w:bCs/>
                <w:color w:val="000000"/>
                <w:sz w:val="22"/>
                <w:szCs w:val="22"/>
              </w:rPr>
              <w:t>Anno 2023</w:t>
            </w:r>
          </w:p>
        </w:tc>
      </w:tr>
      <w:tr w:rsidR="00494634" w:rsidRPr="00494634" w14:paraId="61FDED7B" w14:textId="77777777" w:rsidTr="00494634">
        <w:trPr>
          <w:trHeight w:val="310"/>
        </w:trPr>
        <w:tc>
          <w:tcPr>
            <w:tcW w:w="3278" w:type="dxa"/>
            <w:tcBorders>
              <w:top w:val="nil"/>
              <w:left w:val="single" w:sz="8" w:space="0" w:color="008000"/>
              <w:bottom w:val="single" w:sz="4" w:space="0" w:color="auto"/>
              <w:right w:val="single" w:sz="4" w:space="0" w:color="008000"/>
            </w:tcBorders>
            <w:shd w:val="clear" w:color="000000" w:fill="FFFFFF"/>
            <w:noWrap/>
            <w:vAlign w:val="center"/>
            <w:hideMark/>
          </w:tcPr>
          <w:p w14:paraId="4FF4EE74" w14:textId="77777777" w:rsidR="00494634" w:rsidRPr="00494634" w:rsidRDefault="00494634" w:rsidP="00494634">
            <w:pPr>
              <w:jc w:val="left"/>
              <w:rPr>
                <w:rFonts w:ascii="Arial Narrow" w:hAnsi="Arial Narrow"/>
                <w:color w:val="000000"/>
                <w:sz w:val="22"/>
                <w:szCs w:val="22"/>
              </w:rPr>
            </w:pPr>
            <w:r w:rsidRPr="00494634">
              <w:rPr>
                <w:rFonts w:ascii="Arial Narrow" w:hAnsi="Arial Narrow"/>
                <w:color w:val="000000"/>
                <w:sz w:val="22"/>
                <w:szCs w:val="22"/>
              </w:rPr>
              <w:t>MIUR</w:t>
            </w:r>
          </w:p>
        </w:tc>
        <w:tc>
          <w:tcPr>
            <w:tcW w:w="1532" w:type="dxa"/>
            <w:tcBorders>
              <w:top w:val="nil"/>
              <w:left w:val="nil"/>
              <w:bottom w:val="single" w:sz="4" w:space="0" w:color="auto"/>
              <w:right w:val="single" w:sz="4" w:space="0" w:color="008000"/>
            </w:tcBorders>
            <w:shd w:val="clear" w:color="000000" w:fill="FFFFFF"/>
            <w:noWrap/>
            <w:vAlign w:val="center"/>
            <w:hideMark/>
          </w:tcPr>
          <w:p w14:paraId="221C7784" w14:textId="77777777" w:rsidR="00494634" w:rsidRPr="00494634" w:rsidRDefault="00494634" w:rsidP="00494634">
            <w:pPr>
              <w:jc w:val="right"/>
              <w:rPr>
                <w:rFonts w:ascii="Arial Narrow" w:hAnsi="Arial Narrow"/>
                <w:color w:val="000000"/>
                <w:sz w:val="22"/>
                <w:szCs w:val="22"/>
              </w:rPr>
            </w:pPr>
            <w:r w:rsidRPr="00494634">
              <w:rPr>
                <w:rFonts w:ascii="Arial Narrow" w:hAnsi="Arial Narrow"/>
                <w:color w:val="000000"/>
                <w:sz w:val="22"/>
                <w:szCs w:val="22"/>
              </w:rPr>
              <w:t>197.000</w:t>
            </w:r>
          </w:p>
        </w:tc>
        <w:tc>
          <w:tcPr>
            <w:tcW w:w="1559" w:type="dxa"/>
            <w:tcBorders>
              <w:top w:val="nil"/>
              <w:left w:val="nil"/>
              <w:bottom w:val="single" w:sz="4" w:space="0" w:color="auto"/>
              <w:right w:val="single" w:sz="8" w:space="0" w:color="008000"/>
            </w:tcBorders>
            <w:shd w:val="clear" w:color="000000" w:fill="FFFFFF"/>
            <w:noWrap/>
            <w:vAlign w:val="center"/>
            <w:hideMark/>
          </w:tcPr>
          <w:p w14:paraId="3921D53A" w14:textId="77777777" w:rsidR="00494634" w:rsidRPr="00494634" w:rsidRDefault="00494634" w:rsidP="00494634">
            <w:pPr>
              <w:jc w:val="right"/>
              <w:rPr>
                <w:rFonts w:ascii="Arial Narrow" w:hAnsi="Arial Narrow"/>
                <w:color w:val="000000"/>
                <w:sz w:val="22"/>
                <w:szCs w:val="22"/>
              </w:rPr>
            </w:pPr>
            <w:r w:rsidRPr="00494634">
              <w:rPr>
                <w:rFonts w:ascii="Arial Narrow" w:hAnsi="Arial Narrow"/>
                <w:color w:val="000000"/>
                <w:sz w:val="22"/>
                <w:szCs w:val="22"/>
              </w:rPr>
              <w:t>197.000</w:t>
            </w:r>
          </w:p>
        </w:tc>
      </w:tr>
      <w:tr w:rsidR="00494634" w:rsidRPr="00494634" w14:paraId="006FF4C0" w14:textId="77777777" w:rsidTr="00494634">
        <w:trPr>
          <w:trHeight w:val="310"/>
        </w:trPr>
        <w:tc>
          <w:tcPr>
            <w:tcW w:w="3278" w:type="dxa"/>
            <w:tcBorders>
              <w:top w:val="nil"/>
              <w:left w:val="single" w:sz="8" w:space="0" w:color="008000"/>
              <w:bottom w:val="single" w:sz="4" w:space="0" w:color="auto"/>
              <w:right w:val="single" w:sz="4" w:space="0" w:color="008000"/>
            </w:tcBorders>
            <w:shd w:val="clear" w:color="000000" w:fill="FFFFFF"/>
            <w:noWrap/>
            <w:vAlign w:val="center"/>
            <w:hideMark/>
          </w:tcPr>
          <w:p w14:paraId="658C7899" w14:textId="77777777" w:rsidR="00494634" w:rsidRPr="00494634" w:rsidRDefault="00494634" w:rsidP="00494634">
            <w:pPr>
              <w:jc w:val="left"/>
              <w:rPr>
                <w:rFonts w:ascii="Arial Narrow" w:hAnsi="Arial Narrow"/>
                <w:color w:val="000000"/>
                <w:sz w:val="22"/>
                <w:szCs w:val="22"/>
              </w:rPr>
            </w:pPr>
            <w:r w:rsidRPr="00494634">
              <w:rPr>
                <w:rFonts w:ascii="Arial Narrow" w:hAnsi="Arial Narrow"/>
                <w:color w:val="000000"/>
                <w:sz w:val="22"/>
                <w:szCs w:val="22"/>
              </w:rPr>
              <w:t>AGEVOLAZIONI ATIPICHE</w:t>
            </w:r>
          </w:p>
        </w:tc>
        <w:tc>
          <w:tcPr>
            <w:tcW w:w="1532" w:type="dxa"/>
            <w:tcBorders>
              <w:top w:val="nil"/>
              <w:left w:val="nil"/>
              <w:bottom w:val="single" w:sz="4" w:space="0" w:color="auto"/>
              <w:right w:val="single" w:sz="4" w:space="0" w:color="008000"/>
            </w:tcBorders>
            <w:shd w:val="clear" w:color="000000" w:fill="FFFFFF"/>
            <w:noWrap/>
            <w:vAlign w:val="center"/>
            <w:hideMark/>
          </w:tcPr>
          <w:p w14:paraId="42BE7369" w14:textId="77777777" w:rsidR="00494634" w:rsidRPr="00494634" w:rsidRDefault="00494634" w:rsidP="00494634">
            <w:pPr>
              <w:jc w:val="right"/>
              <w:rPr>
                <w:rFonts w:ascii="Arial Narrow" w:hAnsi="Arial Narrow"/>
                <w:color w:val="000000"/>
                <w:sz w:val="22"/>
                <w:szCs w:val="22"/>
              </w:rPr>
            </w:pPr>
            <w:r w:rsidRPr="00494634">
              <w:rPr>
                <w:rFonts w:ascii="Arial Narrow" w:hAnsi="Arial Narrow"/>
                <w:color w:val="000000"/>
                <w:sz w:val="22"/>
                <w:szCs w:val="22"/>
              </w:rPr>
              <w:t>530.000</w:t>
            </w:r>
          </w:p>
        </w:tc>
        <w:tc>
          <w:tcPr>
            <w:tcW w:w="1559" w:type="dxa"/>
            <w:tcBorders>
              <w:top w:val="nil"/>
              <w:left w:val="nil"/>
              <w:bottom w:val="single" w:sz="4" w:space="0" w:color="auto"/>
              <w:right w:val="single" w:sz="8" w:space="0" w:color="008000"/>
            </w:tcBorders>
            <w:shd w:val="clear" w:color="000000" w:fill="FFFFFF"/>
            <w:noWrap/>
            <w:vAlign w:val="center"/>
            <w:hideMark/>
          </w:tcPr>
          <w:p w14:paraId="1F5E51AC" w14:textId="77777777" w:rsidR="00494634" w:rsidRPr="00494634" w:rsidRDefault="00494634" w:rsidP="00494634">
            <w:pPr>
              <w:jc w:val="right"/>
              <w:rPr>
                <w:rFonts w:ascii="Arial Narrow" w:hAnsi="Arial Narrow"/>
                <w:color w:val="000000"/>
                <w:sz w:val="22"/>
                <w:szCs w:val="22"/>
              </w:rPr>
            </w:pPr>
            <w:r w:rsidRPr="00494634">
              <w:rPr>
                <w:rFonts w:ascii="Arial Narrow" w:hAnsi="Arial Narrow"/>
                <w:color w:val="000000"/>
                <w:sz w:val="22"/>
                <w:szCs w:val="22"/>
              </w:rPr>
              <w:t>530.000</w:t>
            </w:r>
          </w:p>
        </w:tc>
      </w:tr>
      <w:tr w:rsidR="00494634" w:rsidRPr="00494634" w14:paraId="555ACECD" w14:textId="77777777" w:rsidTr="00494634">
        <w:trPr>
          <w:trHeight w:val="310"/>
        </w:trPr>
        <w:tc>
          <w:tcPr>
            <w:tcW w:w="3278" w:type="dxa"/>
            <w:tcBorders>
              <w:top w:val="nil"/>
              <w:left w:val="single" w:sz="8" w:space="0" w:color="008000"/>
              <w:bottom w:val="single" w:sz="4" w:space="0" w:color="auto"/>
              <w:right w:val="single" w:sz="4" w:space="0" w:color="008000"/>
            </w:tcBorders>
            <w:shd w:val="clear" w:color="000000" w:fill="FFFFFF"/>
            <w:noWrap/>
            <w:vAlign w:val="center"/>
            <w:hideMark/>
          </w:tcPr>
          <w:p w14:paraId="620D253E" w14:textId="77777777" w:rsidR="00494634" w:rsidRPr="00494634" w:rsidRDefault="00494634" w:rsidP="00494634">
            <w:pPr>
              <w:jc w:val="left"/>
              <w:rPr>
                <w:rFonts w:ascii="Arial Narrow" w:hAnsi="Arial Narrow"/>
                <w:color w:val="000000"/>
                <w:sz w:val="22"/>
                <w:szCs w:val="22"/>
              </w:rPr>
            </w:pPr>
            <w:r w:rsidRPr="00494634">
              <w:rPr>
                <w:rFonts w:ascii="Arial Narrow" w:hAnsi="Arial Narrow"/>
                <w:color w:val="000000"/>
                <w:sz w:val="22"/>
                <w:szCs w:val="22"/>
              </w:rPr>
              <w:t>TARI UFFICI COMUNALI</w:t>
            </w:r>
          </w:p>
        </w:tc>
        <w:tc>
          <w:tcPr>
            <w:tcW w:w="1532" w:type="dxa"/>
            <w:tcBorders>
              <w:top w:val="nil"/>
              <w:left w:val="nil"/>
              <w:bottom w:val="single" w:sz="4" w:space="0" w:color="auto"/>
              <w:right w:val="single" w:sz="4" w:space="0" w:color="008000"/>
            </w:tcBorders>
            <w:shd w:val="clear" w:color="000000" w:fill="FFFFFF"/>
            <w:noWrap/>
            <w:vAlign w:val="center"/>
            <w:hideMark/>
          </w:tcPr>
          <w:p w14:paraId="08689F2E" w14:textId="77777777" w:rsidR="00494634" w:rsidRPr="00494634" w:rsidRDefault="00494634" w:rsidP="00494634">
            <w:pPr>
              <w:jc w:val="right"/>
              <w:rPr>
                <w:rFonts w:ascii="Arial Narrow" w:hAnsi="Arial Narrow"/>
                <w:color w:val="000000"/>
                <w:sz w:val="22"/>
                <w:szCs w:val="22"/>
              </w:rPr>
            </w:pPr>
            <w:r w:rsidRPr="00494634">
              <w:rPr>
                <w:rFonts w:ascii="Arial Narrow" w:hAnsi="Arial Narrow"/>
                <w:color w:val="000000"/>
                <w:sz w:val="22"/>
                <w:szCs w:val="22"/>
              </w:rPr>
              <w:t>440.000</w:t>
            </w:r>
          </w:p>
        </w:tc>
        <w:tc>
          <w:tcPr>
            <w:tcW w:w="1559" w:type="dxa"/>
            <w:tcBorders>
              <w:top w:val="nil"/>
              <w:left w:val="nil"/>
              <w:bottom w:val="single" w:sz="4" w:space="0" w:color="auto"/>
              <w:right w:val="single" w:sz="8" w:space="0" w:color="008000"/>
            </w:tcBorders>
            <w:shd w:val="clear" w:color="000000" w:fill="FFFFFF"/>
            <w:noWrap/>
            <w:vAlign w:val="center"/>
            <w:hideMark/>
          </w:tcPr>
          <w:p w14:paraId="30AF6FA5" w14:textId="77777777" w:rsidR="00494634" w:rsidRPr="00494634" w:rsidRDefault="00494634" w:rsidP="00494634">
            <w:pPr>
              <w:jc w:val="right"/>
              <w:rPr>
                <w:rFonts w:ascii="Arial Narrow" w:hAnsi="Arial Narrow"/>
                <w:color w:val="000000"/>
                <w:sz w:val="22"/>
                <w:szCs w:val="22"/>
              </w:rPr>
            </w:pPr>
            <w:r w:rsidRPr="00494634">
              <w:rPr>
                <w:rFonts w:ascii="Arial Narrow" w:hAnsi="Arial Narrow"/>
                <w:color w:val="000000"/>
                <w:sz w:val="22"/>
                <w:szCs w:val="22"/>
              </w:rPr>
              <w:t>440.000</w:t>
            </w:r>
          </w:p>
        </w:tc>
      </w:tr>
      <w:tr w:rsidR="00494634" w:rsidRPr="00494634" w14:paraId="481ADA2D" w14:textId="77777777" w:rsidTr="00494634">
        <w:trPr>
          <w:trHeight w:val="310"/>
        </w:trPr>
        <w:tc>
          <w:tcPr>
            <w:tcW w:w="3278" w:type="dxa"/>
            <w:tcBorders>
              <w:top w:val="nil"/>
              <w:left w:val="single" w:sz="8" w:space="0" w:color="008000"/>
              <w:bottom w:val="single" w:sz="4" w:space="0" w:color="auto"/>
              <w:right w:val="single" w:sz="4" w:space="0" w:color="008000"/>
            </w:tcBorders>
            <w:shd w:val="clear" w:color="000000" w:fill="FFFFFF"/>
            <w:noWrap/>
            <w:vAlign w:val="center"/>
            <w:hideMark/>
          </w:tcPr>
          <w:p w14:paraId="17BC81B7" w14:textId="77777777" w:rsidR="00494634" w:rsidRPr="00494634" w:rsidRDefault="00494634" w:rsidP="00494634">
            <w:pPr>
              <w:jc w:val="left"/>
              <w:rPr>
                <w:rFonts w:ascii="Arial Narrow" w:hAnsi="Arial Narrow"/>
                <w:color w:val="000000"/>
                <w:sz w:val="22"/>
                <w:szCs w:val="22"/>
              </w:rPr>
            </w:pPr>
            <w:r w:rsidRPr="00494634">
              <w:rPr>
                <w:rFonts w:ascii="Arial Narrow" w:hAnsi="Arial Narrow"/>
                <w:color w:val="000000"/>
                <w:sz w:val="22"/>
                <w:szCs w:val="22"/>
              </w:rPr>
              <w:t>RECUPERO EVASIONE/ELUSIONE</w:t>
            </w:r>
          </w:p>
        </w:tc>
        <w:tc>
          <w:tcPr>
            <w:tcW w:w="1532" w:type="dxa"/>
            <w:tcBorders>
              <w:top w:val="nil"/>
              <w:left w:val="nil"/>
              <w:bottom w:val="single" w:sz="4" w:space="0" w:color="auto"/>
              <w:right w:val="single" w:sz="4" w:space="0" w:color="008000"/>
            </w:tcBorders>
            <w:shd w:val="clear" w:color="000000" w:fill="FFFFFF"/>
            <w:noWrap/>
            <w:vAlign w:val="center"/>
            <w:hideMark/>
          </w:tcPr>
          <w:p w14:paraId="7CB3BC9E" w14:textId="77777777" w:rsidR="00494634" w:rsidRPr="00494634" w:rsidRDefault="00494634" w:rsidP="00494634">
            <w:pPr>
              <w:jc w:val="right"/>
              <w:rPr>
                <w:rFonts w:ascii="Arial Narrow" w:hAnsi="Arial Narrow"/>
                <w:color w:val="000000"/>
                <w:sz w:val="22"/>
                <w:szCs w:val="22"/>
              </w:rPr>
            </w:pPr>
            <w:r w:rsidRPr="00494634">
              <w:rPr>
                <w:rFonts w:ascii="Arial Narrow" w:hAnsi="Arial Narrow"/>
                <w:color w:val="000000"/>
                <w:sz w:val="22"/>
                <w:szCs w:val="22"/>
              </w:rPr>
              <w:t>800.000</w:t>
            </w:r>
          </w:p>
        </w:tc>
        <w:tc>
          <w:tcPr>
            <w:tcW w:w="1559" w:type="dxa"/>
            <w:tcBorders>
              <w:top w:val="nil"/>
              <w:left w:val="nil"/>
              <w:bottom w:val="single" w:sz="4" w:space="0" w:color="auto"/>
              <w:right w:val="single" w:sz="8" w:space="0" w:color="008000"/>
            </w:tcBorders>
            <w:shd w:val="clear" w:color="000000" w:fill="FFFFFF"/>
            <w:noWrap/>
            <w:vAlign w:val="center"/>
            <w:hideMark/>
          </w:tcPr>
          <w:p w14:paraId="1657F9E7" w14:textId="77777777" w:rsidR="00494634" w:rsidRPr="00494634" w:rsidRDefault="00494634" w:rsidP="00494634">
            <w:pPr>
              <w:jc w:val="right"/>
              <w:rPr>
                <w:rFonts w:ascii="Arial Narrow" w:hAnsi="Arial Narrow"/>
                <w:color w:val="000000"/>
                <w:sz w:val="22"/>
                <w:szCs w:val="22"/>
              </w:rPr>
            </w:pPr>
            <w:r w:rsidRPr="00494634">
              <w:rPr>
                <w:rFonts w:ascii="Arial Narrow" w:hAnsi="Arial Narrow"/>
                <w:color w:val="000000"/>
                <w:sz w:val="22"/>
                <w:szCs w:val="22"/>
              </w:rPr>
              <w:t>800.000</w:t>
            </w:r>
          </w:p>
        </w:tc>
      </w:tr>
      <w:tr w:rsidR="00494634" w:rsidRPr="00494634" w14:paraId="6EF2CBCE" w14:textId="77777777" w:rsidTr="00494634">
        <w:trPr>
          <w:trHeight w:val="310"/>
        </w:trPr>
        <w:tc>
          <w:tcPr>
            <w:tcW w:w="3278" w:type="dxa"/>
            <w:tcBorders>
              <w:top w:val="nil"/>
              <w:left w:val="single" w:sz="8" w:space="0" w:color="008000"/>
              <w:bottom w:val="single" w:sz="4" w:space="0" w:color="auto"/>
              <w:right w:val="single" w:sz="4" w:space="0" w:color="008000"/>
            </w:tcBorders>
            <w:shd w:val="clear" w:color="000000" w:fill="FFFFFF"/>
            <w:noWrap/>
            <w:vAlign w:val="center"/>
            <w:hideMark/>
          </w:tcPr>
          <w:p w14:paraId="4930C039" w14:textId="77777777" w:rsidR="00494634" w:rsidRPr="00494634" w:rsidRDefault="00494634" w:rsidP="00494634">
            <w:pPr>
              <w:jc w:val="left"/>
              <w:rPr>
                <w:rFonts w:ascii="Arial Narrow" w:hAnsi="Arial Narrow"/>
                <w:color w:val="000000"/>
                <w:sz w:val="22"/>
                <w:szCs w:val="22"/>
              </w:rPr>
            </w:pPr>
            <w:r w:rsidRPr="00494634">
              <w:rPr>
                <w:rFonts w:ascii="Arial Narrow" w:hAnsi="Arial Narrow"/>
                <w:color w:val="000000"/>
                <w:sz w:val="22"/>
                <w:szCs w:val="22"/>
              </w:rPr>
              <w:t>CONGUAGLIO COSTI A CONSUNTIVO</w:t>
            </w:r>
          </w:p>
        </w:tc>
        <w:tc>
          <w:tcPr>
            <w:tcW w:w="1532" w:type="dxa"/>
            <w:tcBorders>
              <w:top w:val="nil"/>
              <w:left w:val="nil"/>
              <w:bottom w:val="single" w:sz="4" w:space="0" w:color="auto"/>
              <w:right w:val="single" w:sz="4" w:space="0" w:color="008000"/>
            </w:tcBorders>
            <w:shd w:val="clear" w:color="000000" w:fill="FFFFFF"/>
            <w:noWrap/>
            <w:vAlign w:val="center"/>
            <w:hideMark/>
          </w:tcPr>
          <w:p w14:paraId="51A3B91A" w14:textId="77777777" w:rsidR="00494634" w:rsidRPr="00494634" w:rsidRDefault="00494634" w:rsidP="00494634">
            <w:pPr>
              <w:jc w:val="right"/>
              <w:rPr>
                <w:rFonts w:ascii="Arial Narrow" w:hAnsi="Arial Narrow"/>
                <w:color w:val="000000"/>
                <w:sz w:val="22"/>
                <w:szCs w:val="22"/>
              </w:rPr>
            </w:pPr>
            <w:r w:rsidRPr="00494634">
              <w:rPr>
                <w:rFonts w:ascii="Arial Narrow" w:hAnsi="Arial Narrow"/>
                <w:color w:val="000000"/>
                <w:sz w:val="22"/>
                <w:szCs w:val="22"/>
              </w:rPr>
              <w:t>471.846</w:t>
            </w:r>
          </w:p>
        </w:tc>
        <w:tc>
          <w:tcPr>
            <w:tcW w:w="1559" w:type="dxa"/>
            <w:tcBorders>
              <w:top w:val="nil"/>
              <w:left w:val="nil"/>
              <w:bottom w:val="single" w:sz="4" w:space="0" w:color="auto"/>
              <w:right w:val="single" w:sz="8" w:space="0" w:color="008000"/>
            </w:tcBorders>
            <w:shd w:val="clear" w:color="000000" w:fill="FFFFFF"/>
            <w:noWrap/>
            <w:vAlign w:val="center"/>
            <w:hideMark/>
          </w:tcPr>
          <w:p w14:paraId="11010393" w14:textId="77777777" w:rsidR="00494634" w:rsidRPr="00494634" w:rsidRDefault="00494634" w:rsidP="00494634">
            <w:pPr>
              <w:jc w:val="right"/>
              <w:rPr>
                <w:rFonts w:ascii="Arial Narrow" w:hAnsi="Arial Narrow"/>
                <w:color w:val="000000"/>
                <w:sz w:val="22"/>
                <w:szCs w:val="22"/>
              </w:rPr>
            </w:pPr>
            <w:r w:rsidRPr="00494634">
              <w:rPr>
                <w:rFonts w:ascii="Arial Narrow" w:hAnsi="Arial Narrow"/>
                <w:color w:val="000000"/>
                <w:sz w:val="22"/>
                <w:szCs w:val="22"/>
              </w:rPr>
              <w:t>1.005.204</w:t>
            </w:r>
          </w:p>
        </w:tc>
      </w:tr>
      <w:tr w:rsidR="00494634" w:rsidRPr="00494634" w14:paraId="376F0CFA" w14:textId="77777777" w:rsidTr="00494634">
        <w:trPr>
          <w:trHeight w:val="290"/>
        </w:trPr>
        <w:tc>
          <w:tcPr>
            <w:tcW w:w="3278" w:type="dxa"/>
            <w:tcBorders>
              <w:top w:val="nil"/>
              <w:left w:val="single" w:sz="8" w:space="0" w:color="008000"/>
              <w:bottom w:val="single" w:sz="8" w:space="0" w:color="008000"/>
              <w:right w:val="single" w:sz="4" w:space="0" w:color="008000"/>
            </w:tcBorders>
            <w:shd w:val="clear" w:color="000000" w:fill="008000"/>
            <w:noWrap/>
            <w:vAlign w:val="center"/>
            <w:hideMark/>
          </w:tcPr>
          <w:p w14:paraId="7381A0E2" w14:textId="77777777" w:rsidR="00494634" w:rsidRPr="00494634" w:rsidRDefault="00494634" w:rsidP="00494634">
            <w:pPr>
              <w:jc w:val="left"/>
              <w:rPr>
                <w:rFonts w:ascii="Arial Narrow" w:hAnsi="Arial Narrow"/>
                <w:b/>
                <w:bCs/>
                <w:color w:val="FFFFFF"/>
                <w:sz w:val="22"/>
                <w:szCs w:val="22"/>
              </w:rPr>
            </w:pPr>
            <w:r w:rsidRPr="00494634">
              <w:rPr>
                <w:rFonts w:ascii="Arial Narrow" w:hAnsi="Arial Narrow"/>
                <w:b/>
                <w:bCs/>
                <w:color w:val="FFFFFF"/>
                <w:sz w:val="22"/>
                <w:szCs w:val="22"/>
              </w:rPr>
              <w:t>TOTALE DETRAZIONI</w:t>
            </w:r>
          </w:p>
        </w:tc>
        <w:tc>
          <w:tcPr>
            <w:tcW w:w="1532" w:type="dxa"/>
            <w:tcBorders>
              <w:top w:val="nil"/>
              <w:left w:val="nil"/>
              <w:bottom w:val="single" w:sz="8" w:space="0" w:color="008000"/>
              <w:right w:val="single" w:sz="4" w:space="0" w:color="008000"/>
            </w:tcBorders>
            <w:shd w:val="clear" w:color="000000" w:fill="008000"/>
            <w:noWrap/>
            <w:vAlign w:val="center"/>
            <w:hideMark/>
          </w:tcPr>
          <w:p w14:paraId="32339C84" w14:textId="77777777" w:rsidR="00494634" w:rsidRPr="00494634" w:rsidRDefault="00494634" w:rsidP="00494634">
            <w:pPr>
              <w:jc w:val="right"/>
              <w:rPr>
                <w:rFonts w:ascii="Arial Narrow" w:hAnsi="Arial Narrow"/>
                <w:b/>
                <w:bCs/>
                <w:color w:val="FFFFFF"/>
                <w:sz w:val="22"/>
                <w:szCs w:val="22"/>
              </w:rPr>
            </w:pPr>
            <w:r w:rsidRPr="00494634">
              <w:rPr>
                <w:rFonts w:ascii="Arial Narrow" w:hAnsi="Arial Narrow"/>
                <w:b/>
                <w:bCs/>
                <w:color w:val="FFFFFF"/>
                <w:sz w:val="22"/>
                <w:szCs w:val="22"/>
              </w:rPr>
              <w:t>2.438.846</w:t>
            </w:r>
          </w:p>
        </w:tc>
        <w:tc>
          <w:tcPr>
            <w:tcW w:w="1559" w:type="dxa"/>
            <w:tcBorders>
              <w:top w:val="nil"/>
              <w:left w:val="nil"/>
              <w:bottom w:val="single" w:sz="8" w:space="0" w:color="008000"/>
              <w:right w:val="single" w:sz="8" w:space="0" w:color="008000"/>
            </w:tcBorders>
            <w:shd w:val="clear" w:color="000000" w:fill="008000"/>
            <w:noWrap/>
            <w:vAlign w:val="center"/>
            <w:hideMark/>
          </w:tcPr>
          <w:p w14:paraId="01085344" w14:textId="77777777" w:rsidR="00494634" w:rsidRPr="00494634" w:rsidRDefault="00494634" w:rsidP="00494634">
            <w:pPr>
              <w:jc w:val="right"/>
              <w:rPr>
                <w:rFonts w:ascii="Arial Narrow" w:hAnsi="Arial Narrow"/>
                <w:b/>
                <w:bCs/>
                <w:color w:val="FFFFFF"/>
                <w:sz w:val="22"/>
                <w:szCs w:val="22"/>
              </w:rPr>
            </w:pPr>
            <w:r w:rsidRPr="00494634">
              <w:rPr>
                <w:rFonts w:ascii="Arial Narrow" w:hAnsi="Arial Narrow"/>
                <w:b/>
                <w:bCs/>
                <w:color w:val="FFFFFF"/>
                <w:sz w:val="22"/>
                <w:szCs w:val="22"/>
              </w:rPr>
              <w:t>2.972.204</w:t>
            </w:r>
          </w:p>
        </w:tc>
      </w:tr>
    </w:tbl>
    <w:p w14:paraId="07E3A131" w14:textId="77777777" w:rsidR="00494634" w:rsidRPr="003540AD" w:rsidRDefault="00494634" w:rsidP="005D066F"/>
    <w:sectPr w:rsidR="00494634" w:rsidRPr="003540AD">
      <w:footerReference w:type="even" r:id="rId14"/>
      <w:footerReference w:type="default" r:id="rId15"/>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D7DA3" w14:textId="77777777" w:rsidR="003810C5" w:rsidRDefault="003810C5" w:rsidP="00393406">
      <w:r>
        <w:separator/>
      </w:r>
    </w:p>
  </w:endnote>
  <w:endnote w:type="continuationSeparator" w:id="0">
    <w:p w14:paraId="7989E0F6" w14:textId="77777777" w:rsidR="003810C5" w:rsidRDefault="003810C5" w:rsidP="0039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F6F54" w14:textId="77777777" w:rsidR="004251A3" w:rsidRDefault="004251A3"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3FBEB1BF" w14:textId="77777777" w:rsidR="004251A3" w:rsidRDefault="004251A3" w:rsidP="0039340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7EA05" w14:textId="77777777" w:rsidR="004251A3" w:rsidRDefault="004251A3">
    <w:pPr>
      <w:pStyle w:val="Pidipagina"/>
      <w:jc w:val="right"/>
    </w:pPr>
    <w:r>
      <w:fldChar w:fldCharType="begin"/>
    </w:r>
    <w:r>
      <w:instrText>PAGE   \* MERGEFORMAT</w:instrText>
    </w:r>
    <w:r>
      <w:fldChar w:fldCharType="separate"/>
    </w:r>
    <w:r w:rsidR="009B19DD" w:rsidRPr="009B19DD">
      <w:rPr>
        <w:noProof/>
        <w:lang w:val="it-IT"/>
      </w:rPr>
      <w:t>6</w:t>
    </w:r>
    <w:r>
      <w:fldChar w:fldCharType="end"/>
    </w:r>
  </w:p>
  <w:p w14:paraId="5E7984BA" w14:textId="77777777" w:rsidR="004251A3" w:rsidRDefault="004251A3" w:rsidP="0039340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14F2A" w14:textId="77777777" w:rsidR="003810C5" w:rsidRDefault="003810C5" w:rsidP="00393406">
      <w:r>
        <w:separator/>
      </w:r>
    </w:p>
  </w:footnote>
  <w:footnote w:type="continuationSeparator" w:id="0">
    <w:p w14:paraId="4757B096" w14:textId="77777777" w:rsidR="003810C5" w:rsidRDefault="003810C5" w:rsidP="00393406">
      <w:r>
        <w:continuationSeparator/>
      </w:r>
    </w:p>
  </w:footnote>
  <w:footnote w:id="1">
    <w:p w14:paraId="6A68A7E8" w14:textId="77777777" w:rsidR="004251A3" w:rsidRPr="00392003" w:rsidRDefault="004251A3" w:rsidP="00045A24">
      <w:pPr>
        <w:pStyle w:val="Testonotaapidipagina"/>
        <w:rPr>
          <w:lang w:val="it-IT"/>
        </w:rPr>
      </w:pPr>
      <w:r>
        <w:rPr>
          <w:rStyle w:val="Rimandonotaapidipagina"/>
        </w:rPr>
        <w:footnoteRef/>
      </w:r>
      <w:r w:rsidRPr="00392003">
        <w:rPr>
          <w:lang w:val="it-IT"/>
        </w:rPr>
        <w:t xml:space="preserve"> Rielaborazione dati Rapporto </w:t>
      </w:r>
      <w:r w:rsidRPr="00A47AD8">
        <w:rPr>
          <w:lang w:val="it-IT"/>
        </w:rPr>
        <w:t>ISPRA RU 2020 relativo all’anno 2019.</w:t>
      </w:r>
    </w:p>
  </w:footnote>
  <w:footnote w:id="2">
    <w:p w14:paraId="4BFE6BD0" w14:textId="77777777" w:rsidR="004251A3" w:rsidRPr="00CE5C3A" w:rsidRDefault="004251A3" w:rsidP="00045A24">
      <w:pPr>
        <w:pStyle w:val="Testonotaapidipagina"/>
        <w:rPr>
          <w:lang w:val="it-IT"/>
        </w:rPr>
      </w:pPr>
      <w:r>
        <w:rPr>
          <w:rStyle w:val="Rimandonotaapidipagina"/>
        </w:rPr>
        <w:footnoteRef/>
      </w:r>
      <w:r w:rsidRPr="00CE5C3A">
        <w:rPr>
          <w:lang w:val="it-IT"/>
        </w:rPr>
        <w:t xml:space="preserve"> Per le attività di riutilizzo non risultano disponibili dati sufficientemente di dettaglio.</w:t>
      </w:r>
    </w:p>
  </w:footnote>
  <w:footnote w:id="3">
    <w:p w14:paraId="7A7AE00D" w14:textId="77777777" w:rsidR="004251A3" w:rsidRPr="00CE5C3A" w:rsidRDefault="004251A3" w:rsidP="00045A24">
      <w:pPr>
        <w:pStyle w:val="Testonotaapidipagina"/>
        <w:rPr>
          <w:lang w:val="it-IT"/>
        </w:rPr>
      </w:pPr>
      <w:r>
        <w:rPr>
          <w:rStyle w:val="Rimandonotaapidipagina"/>
        </w:rPr>
        <w:footnoteRef/>
      </w:r>
      <w:r w:rsidRPr="00CE5C3A">
        <w:rPr>
          <w:lang w:val="it-IT"/>
        </w:rPr>
        <w:t xml:space="preserve"> ARPA Lombardia specifica che “</w:t>
      </w:r>
      <w:r w:rsidRPr="00CE5C3A">
        <w:rPr>
          <w:i/>
          <w:lang w:val="it-IT"/>
        </w:rPr>
        <w:t>l’indicatore viene calcolato sommando la percentuale di recupero di materia e la percentuale di recupero di energia, come definite nella D.G.R. 10619/2009. Per quanto riguarda la percentuale di recupero di energia, è possibile calcolare anche quella dovuta ai “secondi destini” (cioè vengono conteggiati i quantitativi dei rifiuti decadenti dal pretrattamento dei rifiuti urbani indifferenziati inviati a termoutilizzazione), permettendo così anche una analisi più approfondite</w:t>
      </w:r>
      <w:r w:rsidRPr="00CE5C3A">
        <w:rPr>
          <w:lang w:val="it-IT"/>
        </w:rPr>
        <w:t xml:space="preserve">”. Inoltre, va evidenziato che </w:t>
      </w:r>
      <w:r>
        <w:rPr>
          <w:lang w:val="it-IT"/>
        </w:rPr>
        <w:t>il dato</w:t>
      </w:r>
      <w:r w:rsidRPr="00CE5C3A">
        <w:rPr>
          <w:lang w:val="it-IT"/>
        </w:rPr>
        <w:t xml:space="preserve"> è riferito alla totalità della produzione di rifiuti, sia urbani che speciali, ma solo per i primi esiste una serie storica consolidata di dati che consente di effettuare tali valutazioni</w:t>
      </w:r>
    </w:p>
  </w:footnote>
  <w:footnote w:id="4">
    <w:p w14:paraId="56F25C97" w14:textId="77777777" w:rsidR="004251A3" w:rsidRPr="00CE5C3A" w:rsidRDefault="004251A3" w:rsidP="00045A24">
      <w:pPr>
        <w:pStyle w:val="Testonotaapidipagina"/>
        <w:rPr>
          <w:lang w:val="it-IT"/>
        </w:rPr>
      </w:pPr>
      <w:r>
        <w:rPr>
          <w:rStyle w:val="Rimandonotaapidipagina"/>
        </w:rPr>
        <w:footnoteRef/>
      </w:r>
      <w:r w:rsidRPr="00CE5C3A">
        <w:rPr>
          <w:lang w:val="it-IT"/>
        </w:rPr>
        <w:t xml:space="preserve"> Rielaborazione dati </w:t>
      </w:r>
      <w:r w:rsidRPr="00A47AD8">
        <w:rPr>
          <w:lang w:val="it-IT"/>
        </w:rPr>
        <w:t>Rapporto ISPRA RU 2020 relativo all’anno 2019.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F7CD0EB"/>
    <w:multiLevelType w:val="hybridMultilevel"/>
    <w:tmpl w:val="65CC01D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B77E6A"/>
    <w:multiLevelType w:val="hybridMultilevel"/>
    <w:tmpl w:val="F3022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A0D53EC"/>
    <w:multiLevelType w:val="hybridMultilevel"/>
    <w:tmpl w:val="8A52073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1A9F7F86"/>
    <w:multiLevelType w:val="hybridMultilevel"/>
    <w:tmpl w:val="3744796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D8C343C"/>
    <w:multiLevelType w:val="hybridMultilevel"/>
    <w:tmpl w:val="20825D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B67851"/>
    <w:multiLevelType w:val="hybridMultilevel"/>
    <w:tmpl w:val="3AD0B7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02F44BD"/>
    <w:multiLevelType w:val="hybridMultilevel"/>
    <w:tmpl w:val="7BD880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4FA1007"/>
    <w:multiLevelType w:val="hybridMultilevel"/>
    <w:tmpl w:val="2318D6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5EA07B1"/>
    <w:multiLevelType w:val="multilevel"/>
    <w:tmpl w:val="ABAEBC46"/>
    <w:lvl w:ilvl="0">
      <w:start w:val="1"/>
      <w:numFmt w:val="decimal"/>
      <w:lvlText w:val="%1."/>
      <w:lvlJc w:val="left"/>
      <w:pPr>
        <w:tabs>
          <w:tab w:val="left" w:pos="432"/>
        </w:tabs>
      </w:pPr>
      <w:rPr>
        <w:b/>
        <w:strike w:val="0"/>
        <w:color w:val="000000"/>
        <w:spacing w:val="0"/>
        <w:w w:val="100"/>
        <w:sz w:val="24"/>
        <w:szCs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7532DC"/>
    <w:multiLevelType w:val="hybridMultilevel"/>
    <w:tmpl w:val="A35443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BC357B3"/>
    <w:multiLevelType w:val="hybridMultilevel"/>
    <w:tmpl w:val="78F8522E"/>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2">
    <w:nsid w:val="42480CD4"/>
    <w:multiLevelType w:val="hybridMultilevel"/>
    <w:tmpl w:val="9798124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3">
    <w:nsid w:val="429F052D"/>
    <w:multiLevelType w:val="hybridMultilevel"/>
    <w:tmpl w:val="8B98E0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82F773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ACD6E2C"/>
    <w:multiLevelType w:val="hybridMultilevel"/>
    <w:tmpl w:val="1D6404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C035C1C"/>
    <w:multiLevelType w:val="hybridMultilevel"/>
    <w:tmpl w:val="83BAF1A8"/>
    <w:lvl w:ilvl="0" w:tplc="C58E5E0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D7D76A7"/>
    <w:multiLevelType w:val="hybridMultilevel"/>
    <w:tmpl w:val="7D22E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D9A5F48"/>
    <w:multiLevelType w:val="hybridMultilevel"/>
    <w:tmpl w:val="1BAA9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E915D59"/>
    <w:multiLevelType w:val="hybridMultilevel"/>
    <w:tmpl w:val="407412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8893FC5"/>
    <w:multiLevelType w:val="hybridMultilevel"/>
    <w:tmpl w:val="A1689D92"/>
    <w:lvl w:ilvl="0" w:tplc="95F0AC3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42825AA"/>
    <w:multiLevelType w:val="hybridMultilevel"/>
    <w:tmpl w:val="2B3E5262"/>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22">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23">
    <w:nsid w:val="6CC220DF"/>
    <w:multiLevelType w:val="hybridMultilevel"/>
    <w:tmpl w:val="9F5283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DE70E5B"/>
    <w:multiLevelType w:val="hybridMultilevel"/>
    <w:tmpl w:val="C04819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37F160A"/>
    <w:multiLevelType w:val="hybridMultilevel"/>
    <w:tmpl w:val="B4387F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79C70DA2"/>
    <w:multiLevelType w:val="hybridMultilevel"/>
    <w:tmpl w:val="290C244E"/>
    <w:lvl w:ilvl="0" w:tplc="0622A43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abstractNumId w:val="11"/>
  </w:num>
  <w:num w:numId="2">
    <w:abstractNumId w:val="22"/>
  </w:num>
  <w:num w:numId="3">
    <w:abstractNumId w:val="17"/>
  </w:num>
  <w:num w:numId="4">
    <w:abstractNumId w:val="27"/>
  </w:num>
  <w:num w:numId="5">
    <w:abstractNumId w:val="10"/>
  </w:num>
  <w:num w:numId="6">
    <w:abstractNumId w:val="7"/>
  </w:num>
  <w:num w:numId="7">
    <w:abstractNumId w:val="16"/>
  </w:num>
  <w:num w:numId="8">
    <w:abstractNumId w:val="9"/>
  </w:num>
  <w:num w:numId="9">
    <w:abstractNumId w:val="19"/>
  </w:num>
  <w:num w:numId="10">
    <w:abstractNumId w:val="13"/>
  </w:num>
  <w:num w:numId="11">
    <w:abstractNumId w:val="5"/>
  </w:num>
  <w:num w:numId="12">
    <w:abstractNumId w:val="3"/>
  </w:num>
  <w:num w:numId="13">
    <w:abstractNumId w:val="4"/>
  </w:num>
  <w:num w:numId="14">
    <w:abstractNumId w:val="12"/>
  </w:num>
  <w:num w:numId="15">
    <w:abstractNumId w:val="2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14"/>
  </w:num>
  <w:num w:numId="22">
    <w:abstractNumId w:val="11"/>
  </w:num>
  <w:num w:numId="23">
    <w:abstractNumId w:val="8"/>
  </w:num>
  <w:num w:numId="24">
    <w:abstractNumId w:val="20"/>
  </w:num>
  <w:num w:numId="25">
    <w:abstractNumId w:val="6"/>
  </w:num>
  <w:num w:numId="26">
    <w:abstractNumId w:val="18"/>
  </w:num>
  <w:num w:numId="27">
    <w:abstractNumId w:val="2"/>
  </w:num>
  <w:num w:numId="28">
    <w:abstractNumId w:val="21"/>
  </w:num>
  <w:num w:numId="29">
    <w:abstractNumId w:val="24"/>
  </w:num>
  <w:num w:numId="30">
    <w:abstractNumId w:val="0"/>
  </w:num>
  <w:num w:numId="31">
    <w:abstractNumId w:val="25"/>
  </w:num>
  <w:num w:numId="32">
    <w:abstractNumId w:val="1"/>
  </w:num>
  <w:num w:numId="33">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281"/>
    <w:rsid w:val="00001870"/>
    <w:rsid w:val="000061DE"/>
    <w:rsid w:val="000107B8"/>
    <w:rsid w:val="00015B99"/>
    <w:rsid w:val="00021F42"/>
    <w:rsid w:val="00026264"/>
    <w:rsid w:val="00027545"/>
    <w:rsid w:val="00030FA4"/>
    <w:rsid w:val="00031533"/>
    <w:rsid w:val="00033386"/>
    <w:rsid w:val="00034CE5"/>
    <w:rsid w:val="00040587"/>
    <w:rsid w:val="0004185F"/>
    <w:rsid w:val="000452C0"/>
    <w:rsid w:val="00045A24"/>
    <w:rsid w:val="000527E5"/>
    <w:rsid w:val="000543FF"/>
    <w:rsid w:val="0005675A"/>
    <w:rsid w:val="0006504C"/>
    <w:rsid w:val="0006533F"/>
    <w:rsid w:val="000677E2"/>
    <w:rsid w:val="00070AEF"/>
    <w:rsid w:val="000725C5"/>
    <w:rsid w:val="000759EF"/>
    <w:rsid w:val="00076547"/>
    <w:rsid w:val="000767C1"/>
    <w:rsid w:val="000828F9"/>
    <w:rsid w:val="000853C7"/>
    <w:rsid w:val="00090F95"/>
    <w:rsid w:val="000933E8"/>
    <w:rsid w:val="00093DEA"/>
    <w:rsid w:val="000971DB"/>
    <w:rsid w:val="000A22FA"/>
    <w:rsid w:val="000A4113"/>
    <w:rsid w:val="000A5333"/>
    <w:rsid w:val="000B3841"/>
    <w:rsid w:val="000B3BB0"/>
    <w:rsid w:val="000B7281"/>
    <w:rsid w:val="000D1EA9"/>
    <w:rsid w:val="000F1A28"/>
    <w:rsid w:val="000F1EED"/>
    <w:rsid w:val="000F3153"/>
    <w:rsid w:val="000F5A01"/>
    <w:rsid w:val="00106034"/>
    <w:rsid w:val="00106B75"/>
    <w:rsid w:val="0011018A"/>
    <w:rsid w:val="00120500"/>
    <w:rsid w:val="00121014"/>
    <w:rsid w:val="00125B46"/>
    <w:rsid w:val="00127293"/>
    <w:rsid w:val="00127697"/>
    <w:rsid w:val="00131398"/>
    <w:rsid w:val="00131C05"/>
    <w:rsid w:val="00136456"/>
    <w:rsid w:val="001423C5"/>
    <w:rsid w:val="0014582D"/>
    <w:rsid w:val="001539C8"/>
    <w:rsid w:val="00162738"/>
    <w:rsid w:val="0016482E"/>
    <w:rsid w:val="00170628"/>
    <w:rsid w:val="00170B72"/>
    <w:rsid w:val="00177E5F"/>
    <w:rsid w:val="001804CC"/>
    <w:rsid w:val="00181369"/>
    <w:rsid w:val="0019088E"/>
    <w:rsid w:val="00191492"/>
    <w:rsid w:val="00191716"/>
    <w:rsid w:val="00194BD4"/>
    <w:rsid w:val="001A1508"/>
    <w:rsid w:val="001A2E02"/>
    <w:rsid w:val="001A4D9A"/>
    <w:rsid w:val="001A6658"/>
    <w:rsid w:val="001C58C7"/>
    <w:rsid w:val="001D0993"/>
    <w:rsid w:val="001D187C"/>
    <w:rsid w:val="001D2CAE"/>
    <w:rsid w:val="001E4DB7"/>
    <w:rsid w:val="001F6026"/>
    <w:rsid w:val="00201E87"/>
    <w:rsid w:val="002021D4"/>
    <w:rsid w:val="00203904"/>
    <w:rsid w:val="00210755"/>
    <w:rsid w:val="00221BC2"/>
    <w:rsid w:val="00222F87"/>
    <w:rsid w:val="00224082"/>
    <w:rsid w:val="002262E7"/>
    <w:rsid w:val="002264FD"/>
    <w:rsid w:val="00231194"/>
    <w:rsid w:val="002311C4"/>
    <w:rsid w:val="00232959"/>
    <w:rsid w:val="00233E44"/>
    <w:rsid w:val="002350B7"/>
    <w:rsid w:val="00236ED6"/>
    <w:rsid w:val="00237C6B"/>
    <w:rsid w:val="0024059E"/>
    <w:rsid w:val="00246E2F"/>
    <w:rsid w:val="00257ECD"/>
    <w:rsid w:val="0026283A"/>
    <w:rsid w:val="00265513"/>
    <w:rsid w:val="0027252B"/>
    <w:rsid w:val="00274379"/>
    <w:rsid w:val="00285DFC"/>
    <w:rsid w:val="00286701"/>
    <w:rsid w:val="002A5190"/>
    <w:rsid w:val="002B703E"/>
    <w:rsid w:val="002B7F53"/>
    <w:rsid w:val="002C206A"/>
    <w:rsid w:val="002D2FC5"/>
    <w:rsid w:val="002D332F"/>
    <w:rsid w:val="002D4174"/>
    <w:rsid w:val="002D455F"/>
    <w:rsid w:val="002E513A"/>
    <w:rsid w:val="002E5679"/>
    <w:rsid w:val="002F063E"/>
    <w:rsid w:val="002F160E"/>
    <w:rsid w:val="002F435B"/>
    <w:rsid w:val="002F5AA0"/>
    <w:rsid w:val="00302BDE"/>
    <w:rsid w:val="00305479"/>
    <w:rsid w:val="00306025"/>
    <w:rsid w:val="0031673A"/>
    <w:rsid w:val="00322EBB"/>
    <w:rsid w:val="00323AE2"/>
    <w:rsid w:val="00336035"/>
    <w:rsid w:val="0034191C"/>
    <w:rsid w:val="00341E05"/>
    <w:rsid w:val="003436CA"/>
    <w:rsid w:val="003457EF"/>
    <w:rsid w:val="0034659A"/>
    <w:rsid w:val="00352C54"/>
    <w:rsid w:val="003540AD"/>
    <w:rsid w:val="00356C90"/>
    <w:rsid w:val="00357082"/>
    <w:rsid w:val="00357973"/>
    <w:rsid w:val="00361963"/>
    <w:rsid w:val="003635DA"/>
    <w:rsid w:val="00372111"/>
    <w:rsid w:val="00374317"/>
    <w:rsid w:val="003771FA"/>
    <w:rsid w:val="003810C5"/>
    <w:rsid w:val="00392003"/>
    <w:rsid w:val="00393406"/>
    <w:rsid w:val="003973BC"/>
    <w:rsid w:val="003A1FED"/>
    <w:rsid w:val="003B3AFD"/>
    <w:rsid w:val="003B635F"/>
    <w:rsid w:val="003B640C"/>
    <w:rsid w:val="003C2791"/>
    <w:rsid w:val="003C389B"/>
    <w:rsid w:val="003C44D4"/>
    <w:rsid w:val="003D1A8F"/>
    <w:rsid w:val="003D3DFE"/>
    <w:rsid w:val="003D4601"/>
    <w:rsid w:val="003E336F"/>
    <w:rsid w:val="003F03B4"/>
    <w:rsid w:val="003F1852"/>
    <w:rsid w:val="00400CC0"/>
    <w:rsid w:val="0041267F"/>
    <w:rsid w:val="00413997"/>
    <w:rsid w:val="00413BB7"/>
    <w:rsid w:val="004251A3"/>
    <w:rsid w:val="00425690"/>
    <w:rsid w:val="004258AF"/>
    <w:rsid w:val="00430711"/>
    <w:rsid w:val="00432985"/>
    <w:rsid w:val="00452A24"/>
    <w:rsid w:val="00453958"/>
    <w:rsid w:val="00460246"/>
    <w:rsid w:val="00463241"/>
    <w:rsid w:val="004638A7"/>
    <w:rsid w:val="0046670F"/>
    <w:rsid w:val="00467D4D"/>
    <w:rsid w:val="0047253D"/>
    <w:rsid w:val="00473A5C"/>
    <w:rsid w:val="004743D5"/>
    <w:rsid w:val="0047461F"/>
    <w:rsid w:val="00474CCB"/>
    <w:rsid w:val="004778CA"/>
    <w:rsid w:val="00483678"/>
    <w:rsid w:val="0048384D"/>
    <w:rsid w:val="00491E2C"/>
    <w:rsid w:val="0049428E"/>
    <w:rsid w:val="00494634"/>
    <w:rsid w:val="004A03F1"/>
    <w:rsid w:val="004A0E83"/>
    <w:rsid w:val="004B2D5E"/>
    <w:rsid w:val="004B3104"/>
    <w:rsid w:val="004B3885"/>
    <w:rsid w:val="004B6563"/>
    <w:rsid w:val="004B726B"/>
    <w:rsid w:val="004C3EF7"/>
    <w:rsid w:val="004D1106"/>
    <w:rsid w:val="004D2750"/>
    <w:rsid w:val="004D6DFC"/>
    <w:rsid w:val="004E790D"/>
    <w:rsid w:val="004E796B"/>
    <w:rsid w:val="004F0840"/>
    <w:rsid w:val="004F0C45"/>
    <w:rsid w:val="004F3723"/>
    <w:rsid w:val="004F5029"/>
    <w:rsid w:val="004F6CFF"/>
    <w:rsid w:val="0050418C"/>
    <w:rsid w:val="005101A9"/>
    <w:rsid w:val="00510908"/>
    <w:rsid w:val="00511CCF"/>
    <w:rsid w:val="00512D0D"/>
    <w:rsid w:val="00517144"/>
    <w:rsid w:val="00517198"/>
    <w:rsid w:val="00521085"/>
    <w:rsid w:val="00522570"/>
    <w:rsid w:val="005316ED"/>
    <w:rsid w:val="005323FA"/>
    <w:rsid w:val="005422C6"/>
    <w:rsid w:val="0054351D"/>
    <w:rsid w:val="00543E59"/>
    <w:rsid w:val="00545781"/>
    <w:rsid w:val="0055047E"/>
    <w:rsid w:val="005542A1"/>
    <w:rsid w:val="00563522"/>
    <w:rsid w:val="00563BC5"/>
    <w:rsid w:val="00564F24"/>
    <w:rsid w:val="00571257"/>
    <w:rsid w:val="005732FB"/>
    <w:rsid w:val="00576E32"/>
    <w:rsid w:val="00577D77"/>
    <w:rsid w:val="0058498D"/>
    <w:rsid w:val="00587646"/>
    <w:rsid w:val="00594C60"/>
    <w:rsid w:val="00595646"/>
    <w:rsid w:val="005A0221"/>
    <w:rsid w:val="005A2DFA"/>
    <w:rsid w:val="005A34D6"/>
    <w:rsid w:val="005A5435"/>
    <w:rsid w:val="005B009A"/>
    <w:rsid w:val="005B0E7C"/>
    <w:rsid w:val="005C0996"/>
    <w:rsid w:val="005D066F"/>
    <w:rsid w:val="005D0E88"/>
    <w:rsid w:val="005D1391"/>
    <w:rsid w:val="005D58A8"/>
    <w:rsid w:val="005D6F6A"/>
    <w:rsid w:val="005E4C30"/>
    <w:rsid w:val="005E506A"/>
    <w:rsid w:val="005E7EC1"/>
    <w:rsid w:val="005F11BE"/>
    <w:rsid w:val="005F32FB"/>
    <w:rsid w:val="005F5FA5"/>
    <w:rsid w:val="00604A93"/>
    <w:rsid w:val="00615F4C"/>
    <w:rsid w:val="00617364"/>
    <w:rsid w:val="00622307"/>
    <w:rsid w:val="00624383"/>
    <w:rsid w:val="0062671D"/>
    <w:rsid w:val="00631E9C"/>
    <w:rsid w:val="00634F8A"/>
    <w:rsid w:val="00635B94"/>
    <w:rsid w:val="00657F38"/>
    <w:rsid w:val="00664696"/>
    <w:rsid w:val="00665EFD"/>
    <w:rsid w:val="00671013"/>
    <w:rsid w:val="00685E38"/>
    <w:rsid w:val="006866E3"/>
    <w:rsid w:val="00690567"/>
    <w:rsid w:val="00695C7C"/>
    <w:rsid w:val="006963F4"/>
    <w:rsid w:val="006A1C69"/>
    <w:rsid w:val="006B0546"/>
    <w:rsid w:val="006B3484"/>
    <w:rsid w:val="006B5E15"/>
    <w:rsid w:val="006C2EA8"/>
    <w:rsid w:val="006C2F61"/>
    <w:rsid w:val="006C31DE"/>
    <w:rsid w:val="006D3E1A"/>
    <w:rsid w:val="006D48BA"/>
    <w:rsid w:val="006D63F9"/>
    <w:rsid w:val="006D7090"/>
    <w:rsid w:val="006F4C30"/>
    <w:rsid w:val="006F7C29"/>
    <w:rsid w:val="00702DBC"/>
    <w:rsid w:val="00703EAD"/>
    <w:rsid w:val="0071028E"/>
    <w:rsid w:val="00720EB3"/>
    <w:rsid w:val="00721A23"/>
    <w:rsid w:val="00725A58"/>
    <w:rsid w:val="007303F0"/>
    <w:rsid w:val="00731DBA"/>
    <w:rsid w:val="00731F4E"/>
    <w:rsid w:val="007373CD"/>
    <w:rsid w:val="00741084"/>
    <w:rsid w:val="00743204"/>
    <w:rsid w:val="00744D3D"/>
    <w:rsid w:val="0075480F"/>
    <w:rsid w:val="00755CDE"/>
    <w:rsid w:val="007641FF"/>
    <w:rsid w:val="0076515C"/>
    <w:rsid w:val="0076552F"/>
    <w:rsid w:val="00766113"/>
    <w:rsid w:val="00767766"/>
    <w:rsid w:val="00771934"/>
    <w:rsid w:val="00773DFA"/>
    <w:rsid w:val="0078164D"/>
    <w:rsid w:val="00781D26"/>
    <w:rsid w:val="007863B0"/>
    <w:rsid w:val="007873E6"/>
    <w:rsid w:val="007A2157"/>
    <w:rsid w:val="007A3B20"/>
    <w:rsid w:val="007A5CD3"/>
    <w:rsid w:val="007A6CC3"/>
    <w:rsid w:val="007B3217"/>
    <w:rsid w:val="007B596F"/>
    <w:rsid w:val="007B69BA"/>
    <w:rsid w:val="007C7DBC"/>
    <w:rsid w:val="007D1568"/>
    <w:rsid w:val="007D25B6"/>
    <w:rsid w:val="007D58E4"/>
    <w:rsid w:val="007E2CA0"/>
    <w:rsid w:val="007F07CE"/>
    <w:rsid w:val="007F1830"/>
    <w:rsid w:val="00800300"/>
    <w:rsid w:val="00800413"/>
    <w:rsid w:val="00802927"/>
    <w:rsid w:val="00804288"/>
    <w:rsid w:val="00804F1B"/>
    <w:rsid w:val="00806DFC"/>
    <w:rsid w:val="00812281"/>
    <w:rsid w:val="00815315"/>
    <w:rsid w:val="00824EF7"/>
    <w:rsid w:val="00827EA2"/>
    <w:rsid w:val="00830F0F"/>
    <w:rsid w:val="00834381"/>
    <w:rsid w:val="00834914"/>
    <w:rsid w:val="008448D3"/>
    <w:rsid w:val="008457F1"/>
    <w:rsid w:val="008571FF"/>
    <w:rsid w:val="00860B3A"/>
    <w:rsid w:val="00864DB9"/>
    <w:rsid w:val="00864E07"/>
    <w:rsid w:val="008745E6"/>
    <w:rsid w:val="00877340"/>
    <w:rsid w:val="00882A18"/>
    <w:rsid w:val="008838ED"/>
    <w:rsid w:val="008840F6"/>
    <w:rsid w:val="008846AF"/>
    <w:rsid w:val="00890000"/>
    <w:rsid w:val="00891E0B"/>
    <w:rsid w:val="00896FD6"/>
    <w:rsid w:val="008A1084"/>
    <w:rsid w:val="008A28A8"/>
    <w:rsid w:val="008B21A3"/>
    <w:rsid w:val="008B3477"/>
    <w:rsid w:val="008B3608"/>
    <w:rsid w:val="008C5096"/>
    <w:rsid w:val="008C64AD"/>
    <w:rsid w:val="008D25B3"/>
    <w:rsid w:val="008F1616"/>
    <w:rsid w:val="008F31FE"/>
    <w:rsid w:val="008F49AE"/>
    <w:rsid w:val="008F6D40"/>
    <w:rsid w:val="00920FA9"/>
    <w:rsid w:val="00926451"/>
    <w:rsid w:val="00931CA4"/>
    <w:rsid w:val="00935F95"/>
    <w:rsid w:val="00940693"/>
    <w:rsid w:val="009456E4"/>
    <w:rsid w:val="009471D9"/>
    <w:rsid w:val="009512AB"/>
    <w:rsid w:val="0095207C"/>
    <w:rsid w:val="00953CEE"/>
    <w:rsid w:val="0096048D"/>
    <w:rsid w:val="00965FF1"/>
    <w:rsid w:val="00973F37"/>
    <w:rsid w:val="00986AB1"/>
    <w:rsid w:val="00986ED7"/>
    <w:rsid w:val="0099410E"/>
    <w:rsid w:val="009A2F02"/>
    <w:rsid w:val="009A4C1B"/>
    <w:rsid w:val="009B097F"/>
    <w:rsid w:val="009B19DD"/>
    <w:rsid w:val="009C3699"/>
    <w:rsid w:val="009C4D77"/>
    <w:rsid w:val="009D584F"/>
    <w:rsid w:val="009F2128"/>
    <w:rsid w:val="009F2969"/>
    <w:rsid w:val="009F520D"/>
    <w:rsid w:val="009F66FE"/>
    <w:rsid w:val="00A03441"/>
    <w:rsid w:val="00A04A5B"/>
    <w:rsid w:val="00A06F2C"/>
    <w:rsid w:val="00A07602"/>
    <w:rsid w:val="00A1391F"/>
    <w:rsid w:val="00A2161F"/>
    <w:rsid w:val="00A231FE"/>
    <w:rsid w:val="00A27296"/>
    <w:rsid w:val="00A30F88"/>
    <w:rsid w:val="00A35DB7"/>
    <w:rsid w:val="00A42779"/>
    <w:rsid w:val="00A42E52"/>
    <w:rsid w:val="00A43611"/>
    <w:rsid w:val="00A473B1"/>
    <w:rsid w:val="00A523CB"/>
    <w:rsid w:val="00A61254"/>
    <w:rsid w:val="00A61502"/>
    <w:rsid w:val="00A64515"/>
    <w:rsid w:val="00A71FEB"/>
    <w:rsid w:val="00A73718"/>
    <w:rsid w:val="00A76508"/>
    <w:rsid w:val="00A778B9"/>
    <w:rsid w:val="00A87AC8"/>
    <w:rsid w:val="00A90C24"/>
    <w:rsid w:val="00A92411"/>
    <w:rsid w:val="00A94169"/>
    <w:rsid w:val="00A94BD8"/>
    <w:rsid w:val="00AA1BDF"/>
    <w:rsid w:val="00AA4469"/>
    <w:rsid w:val="00AB0B2C"/>
    <w:rsid w:val="00AD003A"/>
    <w:rsid w:val="00AD72D6"/>
    <w:rsid w:val="00AE47BD"/>
    <w:rsid w:val="00AF7733"/>
    <w:rsid w:val="00B03030"/>
    <w:rsid w:val="00B060DE"/>
    <w:rsid w:val="00B2655F"/>
    <w:rsid w:val="00B309E0"/>
    <w:rsid w:val="00B33C6B"/>
    <w:rsid w:val="00B3723B"/>
    <w:rsid w:val="00B400BB"/>
    <w:rsid w:val="00B40AB5"/>
    <w:rsid w:val="00B43118"/>
    <w:rsid w:val="00B47497"/>
    <w:rsid w:val="00B50532"/>
    <w:rsid w:val="00B57E1A"/>
    <w:rsid w:val="00B61F93"/>
    <w:rsid w:val="00B74F84"/>
    <w:rsid w:val="00B94495"/>
    <w:rsid w:val="00B95C0A"/>
    <w:rsid w:val="00B96095"/>
    <w:rsid w:val="00BA17E8"/>
    <w:rsid w:val="00BA7123"/>
    <w:rsid w:val="00BB27B8"/>
    <w:rsid w:val="00BC0287"/>
    <w:rsid w:val="00BC497D"/>
    <w:rsid w:val="00BC5306"/>
    <w:rsid w:val="00BC5FF2"/>
    <w:rsid w:val="00BE03E9"/>
    <w:rsid w:val="00BE47B8"/>
    <w:rsid w:val="00BE745D"/>
    <w:rsid w:val="00BF387A"/>
    <w:rsid w:val="00BF4EE5"/>
    <w:rsid w:val="00BF62B2"/>
    <w:rsid w:val="00C01382"/>
    <w:rsid w:val="00C03BED"/>
    <w:rsid w:val="00C047B1"/>
    <w:rsid w:val="00C05A3D"/>
    <w:rsid w:val="00C06499"/>
    <w:rsid w:val="00C078E5"/>
    <w:rsid w:val="00C07A93"/>
    <w:rsid w:val="00C1053F"/>
    <w:rsid w:val="00C176CF"/>
    <w:rsid w:val="00C3066D"/>
    <w:rsid w:val="00C33520"/>
    <w:rsid w:val="00C425D1"/>
    <w:rsid w:val="00C44673"/>
    <w:rsid w:val="00C46BCE"/>
    <w:rsid w:val="00C54253"/>
    <w:rsid w:val="00C633FB"/>
    <w:rsid w:val="00C6395C"/>
    <w:rsid w:val="00C64BFA"/>
    <w:rsid w:val="00C81B7D"/>
    <w:rsid w:val="00C82FAE"/>
    <w:rsid w:val="00C8557D"/>
    <w:rsid w:val="00C878D6"/>
    <w:rsid w:val="00C87E4E"/>
    <w:rsid w:val="00C961C7"/>
    <w:rsid w:val="00C9752D"/>
    <w:rsid w:val="00CA136B"/>
    <w:rsid w:val="00CA310D"/>
    <w:rsid w:val="00CA3614"/>
    <w:rsid w:val="00CB61BC"/>
    <w:rsid w:val="00CC09E4"/>
    <w:rsid w:val="00CC2863"/>
    <w:rsid w:val="00CC6CB4"/>
    <w:rsid w:val="00CD0730"/>
    <w:rsid w:val="00CD1DF5"/>
    <w:rsid w:val="00CD2798"/>
    <w:rsid w:val="00CD5387"/>
    <w:rsid w:val="00CE5C3A"/>
    <w:rsid w:val="00CE7164"/>
    <w:rsid w:val="00CF3168"/>
    <w:rsid w:val="00CF70E7"/>
    <w:rsid w:val="00D03DD2"/>
    <w:rsid w:val="00D04EFE"/>
    <w:rsid w:val="00D05826"/>
    <w:rsid w:val="00D07414"/>
    <w:rsid w:val="00D11153"/>
    <w:rsid w:val="00D11FF8"/>
    <w:rsid w:val="00D21155"/>
    <w:rsid w:val="00D27C9B"/>
    <w:rsid w:val="00D41425"/>
    <w:rsid w:val="00D42999"/>
    <w:rsid w:val="00D512AC"/>
    <w:rsid w:val="00D63F9B"/>
    <w:rsid w:val="00D67BE5"/>
    <w:rsid w:val="00D70061"/>
    <w:rsid w:val="00D70DC2"/>
    <w:rsid w:val="00D81D17"/>
    <w:rsid w:val="00D86B45"/>
    <w:rsid w:val="00D91639"/>
    <w:rsid w:val="00D91DC1"/>
    <w:rsid w:val="00D9344D"/>
    <w:rsid w:val="00DA3A7C"/>
    <w:rsid w:val="00DA6D17"/>
    <w:rsid w:val="00DA73F4"/>
    <w:rsid w:val="00DB056E"/>
    <w:rsid w:val="00DB1B17"/>
    <w:rsid w:val="00DB264B"/>
    <w:rsid w:val="00DB46B1"/>
    <w:rsid w:val="00DC20DE"/>
    <w:rsid w:val="00DC282F"/>
    <w:rsid w:val="00DD0F87"/>
    <w:rsid w:val="00DD0FC4"/>
    <w:rsid w:val="00DD6488"/>
    <w:rsid w:val="00DE2ACE"/>
    <w:rsid w:val="00DE348D"/>
    <w:rsid w:val="00DE398B"/>
    <w:rsid w:val="00DF7896"/>
    <w:rsid w:val="00E00ACF"/>
    <w:rsid w:val="00E01434"/>
    <w:rsid w:val="00E02D18"/>
    <w:rsid w:val="00E03212"/>
    <w:rsid w:val="00E07083"/>
    <w:rsid w:val="00E13C77"/>
    <w:rsid w:val="00E27740"/>
    <w:rsid w:val="00E32F1E"/>
    <w:rsid w:val="00E36702"/>
    <w:rsid w:val="00E40720"/>
    <w:rsid w:val="00E5128B"/>
    <w:rsid w:val="00E545A9"/>
    <w:rsid w:val="00E624B3"/>
    <w:rsid w:val="00E63E32"/>
    <w:rsid w:val="00E673CE"/>
    <w:rsid w:val="00E72501"/>
    <w:rsid w:val="00E77EF8"/>
    <w:rsid w:val="00E837DB"/>
    <w:rsid w:val="00E86B27"/>
    <w:rsid w:val="00E87D1F"/>
    <w:rsid w:val="00E907C7"/>
    <w:rsid w:val="00E9482A"/>
    <w:rsid w:val="00EA099E"/>
    <w:rsid w:val="00EA625A"/>
    <w:rsid w:val="00EB3382"/>
    <w:rsid w:val="00EB485E"/>
    <w:rsid w:val="00EB6497"/>
    <w:rsid w:val="00EC267A"/>
    <w:rsid w:val="00EC2F47"/>
    <w:rsid w:val="00ED56CA"/>
    <w:rsid w:val="00EF0861"/>
    <w:rsid w:val="00EF2D6E"/>
    <w:rsid w:val="00F02CC5"/>
    <w:rsid w:val="00F0365F"/>
    <w:rsid w:val="00F05C7F"/>
    <w:rsid w:val="00F07FFA"/>
    <w:rsid w:val="00F13E1C"/>
    <w:rsid w:val="00F13FD6"/>
    <w:rsid w:val="00F15041"/>
    <w:rsid w:val="00F16975"/>
    <w:rsid w:val="00F21028"/>
    <w:rsid w:val="00F2202A"/>
    <w:rsid w:val="00F22353"/>
    <w:rsid w:val="00F24ED3"/>
    <w:rsid w:val="00F25D07"/>
    <w:rsid w:val="00F25F39"/>
    <w:rsid w:val="00F27D51"/>
    <w:rsid w:val="00F308C8"/>
    <w:rsid w:val="00F30BBB"/>
    <w:rsid w:val="00F40BDA"/>
    <w:rsid w:val="00F41BB9"/>
    <w:rsid w:val="00F531B7"/>
    <w:rsid w:val="00F54821"/>
    <w:rsid w:val="00F613AA"/>
    <w:rsid w:val="00F618E7"/>
    <w:rsid w:val="00F62288"/>
    <w:rsid w:val="00F6614E"/>
    <w:rsid w:val="00F71EFD"/>
    <w:rsid w:val="00F72EBF"/>
    <w:rsid w:val="00F74185"/>
    <w:rsid w:val="00F75248"/>
    <w:rsid w:val="00F84099"/>
    <w:rsid w:val="00FB0F8F"/>
    <w:rsid w:val="00FB3535"/>
    <w:rsid w:val="00FB3CC6"/>
    <w:rsid w:val="00FB45D8"/>
    <w:rsid w:val="00FB674D"/>
    <w:rsid w:val="00FC1732"/>
    <w:rsid w:val="00FC3013"/>
    <w:rsid w:val="00FC58A4"/>
    <w:rsid w:val="00FD17DC"/>
    <w:rsid w:val="00FD5532"/>
    <w:rsid w:val="00FE330B"/>
    <w:rsid w:val="00FE4716"/>
    <w:rsid w:val="00FE5DC5"/>
    <w:rsid w:val="00FE7CC1"/>
    <w:rsid w:val="00FF0FBB"/>
    <w:rsid w:val="00FF252B"/>
    <w:rsid w:val="00FF2945"/>
    <w:rsid w:val="00FF5906"/>
    <w:rsid w:val="00FF6A01"/>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7D6C62"/>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9344D"/>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link w:val="Titolo2Caratter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semiHidden/>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link w:val="TestonotaapidipaginaCarattere"/>
    <w:uiPriority w:val="99"/>
    <w:semiHidden/>
    <w:pPr>
      <w:ind w:left="170" w:hanging="170"/>
    </w:pPr>
    <w:rPr>
      <w:rFonts w:eastAsia="Times"/>
      <w:sz w:val="20"/>
      <w:szCs w:val="20"/>
      <w:lang w:val="en-GB" w:eastAsia="en-US"/>
    </w:rPr>
  </w:style>
  <w:style w:type="character" w:styleId="Rimandonotaapidipagina">
    <w:name w:val="footnote reference"/>
    <w:uiPriority w:val="99"/>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39"/>
    <w:rsid w:val="00531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uiPriority w:val="34"/>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4"/>
      </w:numPr>
      <w:spacing w:before="480" w:after="120"/>
      <w:jc w:val="center"/>
      <w:outlineLvl w:val="0"/>
    </w:pPr>
    <w:rPr>
      <w:b/>
      <w:smallCaps/>
      <w:szCs w:val="20"/>
    </w:rPr>
  </w:style>
  <w:style w:type="paragraph" w:customStyle="1" w:styleId="elencoarabo">
    <w:name w:val="(elenco arabo)"/>
    <w:basedOn w:val="Normale"/>
    <w:rsid w:val="00C44673"/>
    <w:pPr>
      <w:numPr>
        <w:ilvl w:val="5"/>
        <w:numId w:val="4"/>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4"/>
      </w:numPr>
      <w:tabs>
        <w:tab w:val="left" w:pos="1418"/>
      </w:tabs>
      <w:outlineLvl w:val="6"/>
    </w:pPr>
    <w:rPr>
      <w:szCs w:val="20"/>
    </w:rPr>
  </w:style>
  <w:style w:type="paragraph" w:customStyle="1" w:styleId="commi">
    <w:name w:val="(commi)"/>
    <w:basedOn w:val="Normale"/>
    <w:rsid w:val="00C44673"/>
    <w:pPr>
      <w:numPr>
        <w:ilvl w:val="4"/>
        <w:numId w:val="4"/>
      </w:numPr>
      <w:spacing w:before="120" w:after="120"/>
      <w:outlineLvl w:val="4"/>
    </w:pPr>
    <w:rPr>
      <w:szCs w:val="20"/>
    </w:rPr>
  </w:style>
  <w:style w:type="paragraph" w:customStyle="1" w:styleId="capitoli">
    <w:name w:val="(capitoli)"/>
    <w:basedOn w:val="Normale"/>
    <w:next w:val="Normale"/>
    <w:rsid w:val="00C44673"/>
    <w:pPr>
      <w:numPr>
        <w:ilvl w:val="1"/>
        <w:numId w:val="4"/>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4"/>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4"/>
      </w:numPr>
      <w:jc w:val="center"/>
      <w:outlineLvl w:val="3"/>
    </w:pPr>
    <w:rPr>
      <w:i/>
      <w:szCs w:val="20"/>
    </w:rPr>
  </w:style>
  <w:style w:type="paragraph" w:customStyle="1" w:styleId="elenconumeri">
    <w:name w:val="(elenco numeri)"/>
    <w:basedOn w:val="Normale"/>
    <w:rsid w:val="00C44673"/>
    <w:pPr>
      <w:numPr>
        <w:ilvl w:val="7"/>
        <w:numId w:val="4"/>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customStyle="1" w:styleId="TestonotaapidipaginaCarattere">
    <w:name w:val="Testo nota a piè di pagina Carattere"/>
    <w:basedOn w:val="Carpredefinitoparagrafo"/>
    <w:link w:val="Testonotaapidipagina"/>
    <w:uiPriority w:val="99"/>
    <w:semiHidden/>
    <w:rsid w:val="00595646"/>
    <w:rPr>
      <w:rFonts w:eastAsia="Times"/>
      <w:lang w:val="en-GB" w:eastAsia="en-US"/>
    </w:rPr>
  </w:style>
  <w:style w:type="table" w:styleId="Tabellagriglia2-colore5">
    <w:name w:val="Grid Table 2 Accent 5"/>
    <w:basedOn w:val="Tabellanormale"/>
    <w:uiPriority w:val="47"/>
    <w:rsid w:val="00392003"/>
    <w:rPr>
      <w:rFonts w:asciiTheme="minorHAnsi" w:eastAsiaTheme="minorHAnsi" w:hAnsiTheme="minorHAnsi" w:cstheme="minorBidi"/>
      <w:sz w:val="22"/>
      <w:szCs w:val="22"/>
      <w:lang w:eastAsia="en-US"/>
    </w:rPr>
    <w:tblPr>
      <w:tblStyleRowBandSize w:val="1"/>
      <w:tblStyleColBandSize w:val="1"/>
      <w:tblInd w:w="0" w:type="dxa"/>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2Carattere">
    <w:name w:val="Titolo 2 Carattere"/>
    <w:basedOn w:val="Carpredefinitoparagrafo"/>
    <w:link w:val="Titolo2"/>
    <w:rsid w:val="00D9344D"/>
    <w:rPr>
      <w:rFonts w:cs="Arial"/>
      <w:b/>
      <w:bCs/>
      <w:i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38059">
      <w:bodyDiv w:val="1"/>
      <w:marLeft w:val="0"/>
      <w:marRight w:val="0"/>
      <w:marTop w:val="0"/>
      <w:marBottom w:val="0"/>
      <w:divBdr>
        <w:top w:val="none" w:sz="0" w:space="0" w:color="auto"/>
        <w:left w:val="none" w:sz="0" w:space="0" w:color="auto"/>
        <w:bottom w:val="none" w:sz="0" w:space="0" w:color="auto"/>
        <w:right w:val="none" w:sz="0" w:space="0" w:color="auto"/>
      </w:divBdr>
    </w:div>
    <w:div w:id="238759204">
      <w:bodyDiv w:val="1"/>
      <w:marLeft w:val="0"/>
      <w:marRight w:val="0"/>
      <w:marTop w:val="0"/>
      <w:marBottom w:val="0"/>
      <w:divBdr>
        <w:top w:val="none" w:sz="0" w:space="0" w:color="auto"/>
        <w:left w:val="none" w:sz="0" w:space="0" w:color="auto"/>
        <w:bottom w:val="none" w:sz="0" w:space="0" w:color="auto"/>
        <w:right w:val="none" w:sz="0" w:space="0" w:color="auto"/>
      </w:divBdr>
    </w:div>
    <w:div w:id="276564247">
      <w:bodyDiv w:val="1"/>
      <w:marLeft w:val="0"/>
      <w:marRight w:val="0"/>
      <w:marTop w:val="0"/>
      <w:marBottom w:val="0"/>
      <w:divBdr>
        <w:top w:val="none" w:sz="0" w:space="0" w:color="auto"/>
        <w:left w:val="none" w:sz="0" w:space="0" w:color="auto"/>
        <w:bottom w:val="none" w:sz="0" w:space="0" w:color="auto"/>
        <w:right w:val="none" w:sz="0" w:space="0" w:color="auto"/>
      </w:divBdr>
    </w:div>
    <w:div w:id="543950073">
      <w:bodyDiv w:val="1"/>
      <w:marLeft w:val="0"/>
      <w:marRight w:val="0"/>
      <w:marTop w:val="0"/>
      <w:marBottom w:val="0"/>
      <w:divBdr>
        <w:top w:val="none" w:sz="0" w:space="0" w:color="auto"/>
        <w:left w:val="none" w:sz="0" w:space="0" w:color="auto"/>
        <w:bottom w:val="none" w:sz="0" w:space="0" w:color="auto"/>
        <w:right w:val="none" w:sz="0" w:space="0" w:color="auto"/>
      </w:divBdr>
    </w:div>
    <w:div w:id="609362376">
      <w:bodyDiv w:val="1"/>
      <w:marLeft w:val="0"/>
      <w:marRight w:val="0"/>
      <w:marTop w:val="0"/>
      <w:marBottom w:val="0"/>
      <w:divBdr>
        <w:top w:val="none" w:sz="0" w:space="0" w:color="auto"/>
        <w:left w:val="none" w:sz="0" w:space="0" w:color="auto"/>
        <w:bottom w:val="none" w:sz="0" w:space="0" w:color="auto"/>
        <w:right w:val="none" w:sz="0" w:space="0" w:color="auto"/>
      </w:divBdr>
    </w:div>
    <w:div w:id="690913135">
      <w:bodyDiv w:val="1"/>
      <w:marLeft w:val="0"/>
      <w:marRight w:val="0"/>
      <w:marTop w:val="0"/>
      <w:marBottom w:val="0"/>
      <w:divBdr>
        <w:top w:val="none" w:sz="0" w:space="0" w:color="auto"/>
        <w:left w:val="none" w:sz="0" w:space="0" w:color="auto"/>
        <w:bottom w:val="none" w:sz="0" w:space="0" w:color="auto"/>
        <w:right w:val="none" w:sz="0" w:space="0" w:color="auto"/>
      </w:divBdr>
    </w:div>
    <w:div w:id="783233943">
      <w:bodyDiv w:val="1"/>
      <w:marLeft w:val="0"/>
      <w:marRight w:val="0"/>
      <w:marTop w:val="0"/>
      <w:marBottom w:val="0"/>
      <w:divBdr>
        <w:top w:val="none" w:sz="0" w:space="0" w:color="auto"/>
        <w:left w:val="none" w:sz="0" w:space="0" w:color="auto"/>
        <w:bottom w:val="none" w:sz="0" w:space="0" w:color="auto"/>
        <w:right w:val="none" w:sz="0" w:space="0" w:color="auto"/>
      </w:divBdr>
    </w:div>
    <w:div w:id="817385249">
      <w:bodyDiv w:val="1"/>
      <w:marLeft w:val="0"/>
      <w:marRight w:val="0"/>
      <w:marTop w:val="0"/>
      <w:marBottom w:val="0"/>
      <w:divBdr>
        <w:top w:val="none" w:sz="0" w:space="0" w:color="auto"/>
        <w:left w:val="none" w:sz="0" w:space="0" w:color="auto"/>
        <w:bottom w:val="none" w:sz="0" w:space="0" w:color="auto"/>
        <w:right w:val="none" w:sz="0" w:space="0" w:color="auto"/>
      </w:divBdr>
    </w:div>
    <w:div w:id="938803609">
      <w:bodyDiv w:val="1"/>
      <w:marLeft w:val="0"/>
      <w:marRight w:val="0"/>
      <w:marTop w:val="0"/>
      <w:marBottom w:val="0"/>
      <w:divBdr>
        <w:top w:val="none" w:sz="0" w:space="0" w:color="auto"/>
        <w:left w:val="none" w:sz="0" w:space="0" w:color="auto"/>
        <w:bottom w:val="none" w:sz="0" w:space="0" w:color="auto"/>
        <w:right w:val="none" w:sz="0" w:space="0" w:color="auto"/>
      </w:divBdr>
    </w:div>
    <w:div w:id="1077556851">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278098428">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89400584">
      <w:bodyDiv w:val="1"/>
      <w:marLeft w:val="0"/>
      <w:marRight w:val="0"/>
      <w:marTop w:val="0"/>
      <w:marBottom w:val="0"/>
      <w:divBdr>
        <w:top w:val="none" w:sz="0" w:space="0" w:color="auto"/>
        <w:left w:val="none" w:sz="0" w:space="0" w:color="auto"/>
        <w:bottom w:val="none" w:sz="0" w:space="0" w:color="auto"/>
        <w:right w:val="none" w:sz="0" w:space="0" w:color="auto"/>
      </w:divBdr>
    </w:div>
    <w:div w:id="1796215121">
      <w:bodyDiv w:val="1"/>
      <w:marLeft w:val="0"/>
      <w:marRight w:val="0"/>
      <w:marTop w:val="0"/>
      <w:marBottom w:val="0"/>
      <w:divBdr>
        <w:top w:val="none" w:sz="0" w:space="0" w:color="auto"/>
        <w:left w:val="none" w:sz="0" w:space="0" w:color="auto"/>
        <w:bottom w:val="none" w:sz="0" w:space="0" w:color="auto"/>
        <w:right w:val="none" w:sz="0" w:space="0" w:color="auto"/>
      </w:divBdr>
    </w:div>
    <w:div w:id="1867206515">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 w:id="189210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4E35C-DAB6-4872-8109-1B85224CC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19</Pages>
  <Words>5659</Words>
  <Characters>32260</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37844</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TUTELA AMBIENTALE</cp:lastModifiedBy>
  <cp:revision>12</cp:revision>
  <cp:lastPrinted>2014-03-04T11:43:00Z</cp:lastPrinted>
  <dcterms:created xsi:type="dcterms:W3CDTF">2021-11-15T10:18:00Z</dcterms:created>
  <dcterms:modified xsi:type="dcterms:W3CDTF">2022-01-12T12:53:00Z</dcterms:modified>
</cp:coreProperties>
</file>